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160" w:line="269" w:lineRule="auto"/>
        <w:jc w:val="center"/>
      </w:pPr>
      <w:r>
        <w:rPr>
          <w:rFonts w:ascii="Times New Roman" w:hAnsi="Times New Roman" w:eastAsia="楷体"/>
          <w:b/>
          <w:color w:val="24364B"/>
          <w:sz w:val="32"/>
        </w:rPr>
        <w:t>思维印记 · 过程观察报告</w:t>
      </w:r>
    </w:p>
    <w:p>
      <w:pPr>
        <w:spacing w:before="0" w:after="160" w:line="269" w:lineRule="auto"/>
        <w:jc w:val="center"/>
      </w:pPr>
      <w:r>
        <w:rPr>
          <w:rFonts w:ascii="Times New Roman" w:hAnsi="Times New Roman" w:eastAsia="楷体"/>
          <w:b/>
          <w:color w:val="24364B"/>
          <w:sz w:val="25"/>
        </w:rPr>
        <w:t>学生画像7：兴趣发散跑题型</w:t>
      </w:r>
    </w:p>
    <w:p>
      <w:pPr>
        <w:spacing w:before="0" w:after="100" w:line="26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任务：Did China make the Earth become more sustainable?（800 词）</w:t>
      </w:r>
    </w:p>
    <w:p>
      <w:pPr>
        <w:spacing w:before="0" w:after="160" w:line="26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说明：这份报告只描述这一次任务里可观察到的原话和行为。它不打分、不定级、不和任何人比较、不预测考试成绩。</w:t>
      </w:r>
    </w:p>
    <w:p>
      <w:pPr>
        <w:spacing w:before="0" w:after="100" w:line="269" w:lineRule="auto"/>
      </w:pPr>
      <w:r>
        <w:rPr>
          <w:rFonts w:ascii="Times New Roman" w:hAnsi="Times New Roman" w:eastAsia="楷体"/>
          <w:b w:val="0"/>
          <w:color w:val="222222"/>
          <w:sz w:val="20"/>
        </w:rPr>
        <w:t>总体观察：你最明显的特征是兴趣强、线索敏感，但容易被每一个有趣旁支带走。你想写卫星技术、印度比较、农业机制、能源转型、气候正义、南亚比较和 Exxon 故事。真正的关键进步是你做出了 main road / rabbit hole 表，把正文收束到 greening、emissions、human impact 三条主路，并把其他内容放入日志或 possible extension。</w:t>
      </w:r>
    </w:p>
    <w:p>
      <w:pPr>
        <w:pStyle w:val="16"/>
        <w:spacing w:after="80" w:line="25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优势是材料敏感度高，能看见很多真实探究支线。</w:t>
      </w:r>
    </w:p>
    <w:p>
      <w:pPr>
        <w:pStyle w:val="16"/>
        <w:spacing w:after="80" w:line="25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风险是 800 词任务会被兴趣点吞掉，导致中心问题变松。</w:t>
      </w:r>
    </w:p>
    <w:p>
      <w:pPr>
        <w:pStyle w:val="16"/>
        <w:spacing w:after="80" w:line="25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核心成长是你不是简单删除兴趣，而是给兴趣分配状态：正文、source log、rabbit-hole notes、possible extension。</w:t>
      </w:r>
    </w:p>
    <w:p>
      <w:pPr>
        <w:spacing w:before="0" w:after="100" w:line="269" w:lineRule="auto"/>
      </w:pPr>
      <w:r>
        <w:rPr>
          <w:rFonts w:ascii="Times New Roman" w:hAnsi="Times New Roman" w:eastAsia="楷体"/>
          <w:b w:val="0"/>
          <w:color w:val="222222"/>
          <w:sz w:val="20"/>
        </w:rPr>
        <w:t>下一次最值得继续训练的是：每出现一条新线索，都先问三件事：它是否直接回答 China？是否回答 sustainability？是否值得占用 800 词正文？如果有两个否，就进兔子洞日志，不进正文。</w:t>
      </w:r>
    </w:p>
    <w:p>
      <w:pPr>
        <w:pStyle w:val="16"/>
        <w:spacing w:after="80" w:line="25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保留兴趣，但用 main road 表控制正文。</w:t>
      </w:r>
    </w:p>
    <w:p>
      <w:pPr>
        <w:pStyle w:val="16"/>
        <w:spacing w:after="80" w:line="25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每段只允许一个主来源链和一个解释任务。</w:t>
      </w:r>
    </w:p>
    <w:p>
      <w:pPr>
        <w:pStyle w:val="16"/>
        <w:spacing w:after="80" w:line="25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如果要写能源转型、印度或 Exxon，应另开研究问题。</w:t>
      </w:r>
    </w:p>
    <w:p>
      <w:pPr>
        <w:spacing w:before="0" w:after="120" w:line="269" w:lineRule="auto"/>
      </w:pPr>
      <w:r>
        <w:rPr>
          <w:rFonts w:ascii="Times New Roman" w:hAnsi="Times New Roman" w:eastAsia="楷体"/>
          <w:b/>
          <w:color w:val="24364B"/>
          <w:sz w:val="26"/>
        </w:rPr>
        <w:t>来源使用摘要</w:t>
      </w:r>
    </w:p>
    <w:tbl>
      <w:tblPr>
        <w:tblW w:type="dxa" w:w="98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A7A7A"/>
          <w:left w:val="single" w:sz="6" w:space="0" w:color="7A7A7A"/>
          <w:bottom w:val="single" w:sz="6" w:space="0" w:color="7A7A7A"/>
          <w:right w:val="single" w:sz="6" w:space="0" w:color="7A7A7A"/>
          <w:insideH w:val="single" w:sz="6" w:space="0" w:color="7A7A7A"/>
          <w:insideV w:val="single" w:sz="6" w:space="0" w:color="7A7A7A"/>
        </w:tblBorders>
      </w:tblPr>
      <w:tblGrid>
        <w:gridCol w:w="1500"/>
        <w:gridCol w:w="1850"/>
        <w:gridCol w:w="3450"/>
        <w:gridCol w:w="3000"/>
      </w:tblGrid>
      <w:tr>
        <w:trPr>
          <w:tblHeader w:val="true"/>
        </w:trPr>
        <w:tc>
          <w:tcPr>
            <w:tcW w:type="dxa" w:w="150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来源</w:t>
            </w:r>
          </w:p>
        </w:tc>
        <w:tc>
          <w:tcPr>
            <w:tcW w:type="dxa" w:w="185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你怎么用它</w:t>
            </w:r>
          </w:p>
        </w:tc>
        <w:tc>
          <w:tcPr>
            <w:tcW w:type="dxa" w:w="345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可以支持</w:t>
            </w:r>
          </w:p>
        </w:tc>
        <w:tc>
          <w:tcPr>
            <w:tcW w:type="dxa" w:w="300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不能支持/边界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微信公众号</w:t>
            </w:r>
          </w:p>
        </w:tc>
        <w:tc>
          <w:tcPr>
            <w:tcW w:type="dxa" w:w="1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兴趣触发点</w:t>
            </w:r>
          </w:p>
        </w:tc>
        <w:tc>
          <w:tcPr>
            <w:tcW w:type="dxa" w:w="3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提供 greening 与 NASA 线索。</w:t>
            </w:r>
          </w:p>
        </w:tc>
        <w:tc>
          <w:tcPr>
            <w:tcW w:type="dxa" w:w="3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不能顺势扩成卫星技术介绍。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NASA Ames</w:t>
            </w:r>
          </w:p>
        </w:tc>
        <w:tc>
          <w:tcPr>
            <w:tcW w:type="dxa" w:w="1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桥梁与口径提醒</w:t>
            </w:r>
          </w:p>
        </w:tc>
        <w:tc>
          <w:tcPr>
            <w:tcW w:type="dxa" w:w="3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提示 China and India、卫星研究和论文入口。</w:t>
            </w:r>
          </w:p>
        </w:tc>
        <w:tc>
          <w:tcPr>
            <w:tcW w:type="dxa" w:w="3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印度比较与遥感技术只保留日志。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Nature/PMC/PubMed</w:t>
            </w:r>
          </w:p>
        </w:tc>
        <w:tc>
          <w:tcPr>
            <w:tcW w:type="dxa" w:w="1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greening 主路</w:t>
            </w:r>
          </w:p>
        </w:tc>
        <w:tc>
          <w:tcPr>
            <w:tcW w:type="dxa" w:w="3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支撑 25%、6.6%、forests/croplands。</w:t>
            </w:r>
          </w:p>
        </w:tc>
        <w:tc>
          <w:tcPr>
            <w:tcW w:type="dxa" w:w="3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农业机制不展开评价。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OWID/ESSD/GCB</w:t>
            </w:r>
          </w:p>
        </w:tc>
        <w:tc>
          <w:tcPr>
            <w:tcW w:type="dxa" w:w="1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emissions 主路</w:t>
            </w:r>
          </w:p>
        </w:tc>
        <w:tc>
          <w:tcPr>
            <w:tcW w:type="dxa" w:w="3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支撑 31.8% 与排放限制。</w:t>
            </w:r>
          </w:p>
        </w:tc>
        <w:tc>
          <w:tcPr>
            <w:tcW w:type="dxa" w:w="3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美国历史累计、责任公平放 possible extension。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IEA</w:t>
            </w:r>
          </w:p>
        </w:tc>
        <w:tc>
          <w:tcPr>
            <w:tcW w:type="dxa" w:w="1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趋势候选</w:t>
            </w:r>
          </w:p>
        </w:tc>
        <w:tc>
          <w:tcPr>
            <w:tcW w:type="dxa" w:w="3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可一句补充 0.5%。</w:t>
            </w:r>
          </w:p>
        </w:tc>
        <w:tc>
          <w:tcPr>
            <w:tcW w:type="dxa" w:w="3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不展开新能源转型。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The Economist + World Bank</w:t>
            </w:r>
          </w:p>
        </w:tc>
        <w:tc>
          <w:tcPr>
            <w:tcW w:type="dxa" w:w="1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human impact 主路</w:t>
            </w:r>
          </w:p>
        </w:tc>
        <w:tc>
          <w:tcPr>
            <w:tcW w:type="dxa" w:w="3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用孟加拉背景说明 sustainability 不只看绿。</w:t>
            </w:r>
          </w:p>
        </w:tc>
        <w:tc>
          <w:tcPr>
            <w:tcW w:type="dxa" w:w="3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斐济、危地马拉保留观看日志。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co2science / Exxon</w:t>
            </w:r>
          </w:p>
        </w:tc>
        <w:tc>
          <w:tcPr>
            <w:tcW w:type="dxa" w:w="1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反方与强兔子洞</w:t>
            </w:r>
          </w:p>
        </w:tc>
        <w:tc>
          <w:tcPr>
            <w:tcW w:type="dxa" w:w="3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帮助识别 CO2 植物生长和传播背景。</w:t>
            </w:r>
          </w:p>
        </w:tc>
        <w:tc>
          <w:tcPr>
            <w:tcW w:type="dxa" w:w="3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Exxon 故事性强，但退出。</w:t>
            </w:r>
          </w:p>
        </w:tc>
      </w:tr>
    </w:tbl>
    <w:p>
      <w:pPr>
        <w:spacing w:before="0" w:after="60" w:line="269" w:lineRule="auto"/>
      </w:pPr>
    </w:p>
    <w:p>
      <w:pPr>
        <w:spacing w:before="0" w:after="40" w:line="269" w:lineRule="auto"/>
      </w:pPr>
      <w:r>
        <w:rPr>
          <w:rFonts w:ascii="Times New Roman" w:hAnsi="Times New Roman" w:eastAsia="楷体"/>
          <w:b/>
          <w:color w:val="24364B"/>
          <w:sz w:val="26"/>
        </w:rPr>
        <w:t>认知深度</w:t>
      </w:r>
    </w:p>
    <w:p>
      <w:pPr>
        <w:spacing w:before="0" w:after="100" w:line="269" w:lineRule="auto"/>
      </w:pPr>
      <w:r>
        <w:rPr>
          <w:rFonts w:ascii="Times New Roman" w:hAnsi="Times New Roman" w:eastAsia="楷体"/>
          <w:b w:val="0"/>
          <w:color w:val="444444"/>
          <w:sz w:val="20"/>
        </w:rPr>
        <w:t>你是如何组织问题、证据、方法、观点、限制和反思。</w:t>
      </w:r>
    </w:p>
    <w:tbl>
      <w:tblPr>
        <w:tblW w:type="dxa" w:w="98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A7A7A"/>
          <w:left w:val="single" w:sz="6" w:space="0" w:color="7A7A7A"/>
          <w:bottom w:val="single" w:sz="6" w:space="0" w:color="7A7A7A"/>
          <w:right w:val="single" w:sz="6" w:space="0" w:color="7A7A7A"/>
          <w:insideH w:val="single" w:sz="6" w:space="0" w:color="7A7A7A"/>
          <w:insideV w:val="single" w:sz="6" w:space="0" w:color="7A7A7A"/>
        </w:tblBorders>
      </w:tblPr>
      <w:tblGrid>
        <w:gridCol w:w="1450"/>
        <w:gridCol w:w="2800"/>
        <w:gridCol w:w="3350"/>
        <w:gridCol w:w="2200"/>
      </w:tblGrid>
      <w:tr>
        <w:trPr>
          <w:tblHeader w:val="true"/>
        </w:trPr>
        <w:tc>
          <w:tcPr>
            <w:tcW w:type="dxa" w:w="145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维度</w:t>
            </w:r>
          </w:p>
        </w:tc>
        <w:tc>
          <w:tcPr>
            <w:tcW w:type="dxa" w:w="280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观察结论</w:t>
            </w:r>
          </w:p>
        </w:tc>
        <w:tc>
          <w:tcPr>
            <w:tcW w:type="dxa" w:w="335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你的原话</w:t>
            </w:r>
          </w:p>
        </w:tc>
        <w:tc>
          <w:tcPr>
            <w:tcW w:type="dxa" w:w="220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边界/注意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D1 任务理解</w:t>
            </w:r>
          </w:p>
        </w:tc>
        <w:tc>
          <w:tcPr>
            <w:tcW w:type="dxa" w:w="2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能意识到题目不是遥感、印度、能源或气候正义大拼盘。</w:t>
            </w:r>
          </w:p>
        </w:tc>
        <w:tc>
          <w:tcPr>
            <w:tcW w:type="dxa" w:w="3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方向确实很多。 / 主路：greening、emissions、human impact。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题目意识需要不断外部化。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D2 证据与信源</w:t>
            </w:r>
          </w:p>
        </w:tc>
        <w:tc>
          <w:tcPr>
            <w:tcW w:type="dxa" w:w="2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来源丰富且真实打开，但容易把每条来源引向新主题。</w:t>
            </w:r>
          </w:p>
        </w:tc>
        <w:tc>
          <w:tcPr>
            <w:tcW w:type="dxa" w:w="3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我现在岔路好多：卫星、印度、农业、能源、气候正义、南亚比较。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丰富不是问题，进入正文才需要严格筛选。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D3 论证结构</w:t>
            </w:r>
          </w:p>
        </w:tc>
        <w:tc>
          <w:tcPr>
            <w:tcW w:type="dxa" w:w="2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通过 main road/rabbit hole 表形成清楚主线。</w:t>
            </w:r>
          </w:p>
        </w:tc>
        <w:tc>
          <w:tcPr>
            <w:tcW w:type="dxa" w:w="3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Therefore, the question is not whether Earth became greener, but whether that greening is enough for sustainability。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结构来自收束动作，值得保留为证据。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D4 视角与限制</w:t>
            </w:r>
          </w:p>
        </w:tc>
        <w:tc>
          <w:tcPr>
            <w:tcW w:type="dxa" w:w="2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能识别每个兴趣点的题目相关性和字数成本。</w:t>
            </w:r>
          </w:p>
        </w:tc>
        <w:tc>
          <w:tcPr>
            <w:tcW w:type="dxa" w:w="3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我想写Exxon，因为故事性很强。 / 那我先不要继续写Exxon，因为这个文章只有800字。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退出不是放弃深度，而是保护论点。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D5 修订迭代</w:t>
            </w:r>
          </w:p>
        </w:tc>
        <w:tc>
          <w:tcPr>
            <w:tcW w:type="dxa" w:w="2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多次把想写的内容移出正文。</w:t>
            </w:r>
          </w:p>
        </w:tc>
        <w:tc>
          <w:tcPr>
            <w:tcW w:type="dxa" w:w="3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我想写卫星技术；我想写印度比较；我想写Exxon故事，后来都放日志。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修订以范围控制为核心。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D6 元认知</w:t>
            </w:r>
          </w:p>
        </w:tc>
        <w:tc>
          <w:tcPr>
            <w:tcW w:type="dxa" w:w="2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能准确说出自己的问题不是没材料，而是每条材料都想继续追。</w:t>
            </w:r>
          </w:p>
        </w:tc>
        <w:tc>
          <w:tcPr>
            <w:tcW w:type="dxa" w:w="3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My problem was not finding sources; it was deciding which interesting paths did not belong in an 800-word answer。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这是本画像最强的元认知句。</w:t>
            </w:r>
          </w:p>
        </w:tc>
      </w:tr>
    </w:tbl>
    <w:p>
      <w:pPr>
        <w:spacing w:before="0" w:after="60" w:line="269" w:lineRule="auto"/>
      </w:pPr>
    </w:p>
    <w:p>
      <w:pPr>
        <w:spacing w:before="0" w:after="40" w:line="269" w:lineRule="auto"/>
      </w:pPr>
      <w:r>
        <w:rPr>
          <w:rFonts w:ascii="Times New Roman" w:hAnsi="Times New Roman" w:eastAsia="楷体"/>
          <w:b/>
          <w:color w:val="24364B"/>
          <w:sz w:val="26"/>
        </w:rPr>
        <w:t>智识自主</w:t>
      </w:r>
    </w:p>
    <w:p>
      <w:pPr>
        <w:spacing w:before="0" w:after="100" w:line="269" w:lineRule="auto"/>
      </w:pPr>
      <w:r>
        <w:rPr>
          <w:rFonts w:ascii="Times New Roman" w:hAnsi="Times New Roman" w:eastAsia="楷体"/>
          <w:b w:val="0"/>
          <w:color w:val="444444"/>
          <w:sz w:val="20"/>
        </w:rPr>
        <w:t>你的认知活动由谁驱动、判断归谁所有、边界是否被守住、证据是否真实改变你的行动。</w:t>
      </w:r>
    </w:p>
    <w:tbl>
      <w:tblPr>
        <w:tblW w:type="dxa" w:w="98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A7A7A"/>
          <w:left w:val="single" w:sz="6" w:space="0" w:color="7A7A7A"/>
          <w:bottom w:val="single" w:sz="6" w:space="0" w:color="7A7A7A"/>
          <w:right w:val="single" w:sz="6" w:space="0" w:color="7A7A7A"/>
          <w:insideH w:val="single" w:sz="6" w:space="0" w:color="7A7A7A"/>
          <w:insideV w:val="single" w:sz="6" w:space="0" w:color="7A7A7A"/>
        </w:tblBorders>
      </w:tblPr>
      <w:tblGrid>
        <w:gridCol w:w="1650"/>
        <w:gridCol w:w="5000"/>
        <w:gridCol w:w="3150"/>
      </w:tblGrid>
      <w:tr>
        <w:trPr>
          <w:tblHeader w:val="true"/>
        </w:trPr>
        <w:tc>
          <w:tcPr>
            <w:tcW w:type="dxa" w:w="165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维度</w:t>
            </w:r>
          </w:p>
        </w:tc>
        <w:tc>
          <w:tcPr>
            <w:tcW w:type="dxa" w:w="500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观察结论</w:t>
            </w:r>
          </w:p>
        </w:tc>
        <w:tc>
          <w:tcPr>
            <w:tcW w:type="dxa" w:w="315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边界/注意</w:t>
            </w:r>
          </w:p>
        </w:tc>
      </w:tr>
      <w:tr>
        <w:tc>
          <w:tcPr>
            <w:tcW w:type="dxa" w:w="16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A1 方向自主</w:t>
            </w:r>
          </w:p>
        </w:tc>
        <w:tc>
          <w:tcPr>
            <w:tcW w:type="dxa" w:w="5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兴趣驱动很强，但方向稳定性不足。</w:t>
            </w:r>
          </w:p>
        </w:tc>
        <w:tc>
          <w:tcPr>
            <w:tcW w:type="dxa" w:w="31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需要用研究问题而非好奇心决定路径。</w:t>
            </w:r>
          </w:p>
        </w:tc>
      </w:tr>
      <w:tr>
        <w:tc>
          <w:tcPr>
            <w:tcW w:type="dxa" w:w="16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A2 发起自主</w:t>
            </w:r>
          </w:p>
        </w:tc>
        <w:tc>
          <w:tcPr>
            <w:tcW w:type="dxa" w:w="5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大量支线由你主动发起。</w:t>
            </w:r>
          </w:p>
        </w:tc>
        <w:tc>
          <w:tcPr>
            <w:tcW w:type="dxa" w:w="31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发起不是问题，停留标准才是训练点。</w:t>
            </w:r>
          </w:p>
        </w:tc>
      </w:tr>
      <w:tr>
        <w:tc>
          <w:tcPr>
            <w:tcW w:type="dxa" w:w="16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A3 边界主权</w:t>
            </w:r>
          </w:p>
        </w:tc>
        <w:tc>
          <w:tcPr>
            <w:tcW w:type="dxa" w:w="5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后期能用 main road/rabbit hole 表收束。</w:t>
            </w:r>
          </w:p>
        </w:tc>
        <w:tc>
          <w:tcPr>
            <w:tcW w:type="dxa" w:w="31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前期边界容易被新线索冲开。</w:t>
            </w:r>
          </w:p>
        </w:tc>
      </w:tr>
      <w:tr>
        <w:tc>
          <w:tcPr>
            <w:tcW w:type="dxa" w:w="16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A4 对抗与检验</w:t>
            </w:r>
          </w:p>
        </w:tc>
        <w:tc>
          <w:tcPr>
            <w:tcW w:type="dxa" w:w="5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反方和 Exxon 被看见，但能退出。</w:t>
            </w:r>
          </w:p>
        </w:tc>
        <w:tc>
          <w:tcPr>
            <w:tcW w:type="dxa" w:w="31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反方可留一句强让步，不必写成故事。</w:t>
            </w:r>
          </w:p>
        </w:tc>
      </w:tr>
      <w:tr>
        <w:tc>
          <w:tcPr>
            <w:tcW w:type="dxa" w:w="16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A5 判断署名</w:t>
            </w:r>
          </w:p>
        </w:tc>
        <w:tc>
          <w:tcPr>
            <w:tcW w:type="dxa" w:w="5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最终四段结构由你确认。</w:t>
            </w:r>
          </w:p>
        </w:tc>
        <w:tc>
          <w:tcPr>
            <w:tcW w:type="dxa" w:w="31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需保留为何删掉兴趣点的理由。</w:t>
            </w:r>
          </w:p>
        </w:tc>
      </w:tr>
      <w:tr>
        <w:tc>
          <w:tcPr>
            <w:tcW w:type="dxa" w:w="16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A6 迁移潜力</w:t>
            </w:r>
          </w:p>
        </w:tc>
        <w:tc>
          <w:tcPr>
            <w:tcW w:type="dxa" w:w="5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main road/rabbit hole 表可直接迁移到所有探究任务。</w:t>
            </w:r>
          </w:p>
        </w:tc>
        <w:tc>
          <w:tcPr>
            <w:tcW w:type="dxa" w:w="31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下一次应在前 20 分钟就建立。</w:t>
            </w:r>
          </w:p>
        </w:tc>
      </w:tr>
    </w:tbl>
    <w:p>
      <w:pPr>
        <w:spacing w:before="0" w:after="60" w:line="269" w:lineRule="auto"/>
      </w:pPr>
    </w:p>
    <w:p>
      <w:pPr>
        <w:spacing w:before="0" w:after="40" w:line="269" w:lineRule="auto"/>
      </w:pPr>
      <w:r>
        <w:rPr>
          <w:rFonts w:ascii="Times New Roman" w:hAnsi="Times New Roman" w:eastAsia="楷体"/>
          <w:b/>
          <w:color w:val="24364B"/>
          <w:sz w:val="26"/>
        </w:rPr>
        <w:t>提示词与工具卡观察</w:t>
      </w:r>
    </w:p>
    <w:p>
      <w:pPr>
        <w:spacing w:before="0" w:after="100" w:line="269" w:lineRule="auto"/>
      </w:pPr>
      <w:r>
        <w:rPr>
          <w:rFonts w:ascii="Times New Roman" w:hAnsi="Times New Roman" w:eastAsia="楷体"/>
          <w:b w:val="0"/>
          <w:color w:val="444444"/>
          <w:sz w:val="20"/>
        </w:rPr>
        <w:t>你什么时候把 AI 当答案机器，什么时候把 AI 当追问者、检查员和工具递送者。</w:t>
      </w:r>
    </w:p>
    <w:tbl>
      <w:tblPr>
        <w:tblW w:type="dxa" w:w="98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A7A7A"/>
          <w:left w:val="single" w:sz="6" w:space="0" w:color="7A7A7A"/>
          <w:bottom w:val="single" w:sz="6" w:space="0" w:color="7A7A7A"/>
          <w:right w:val="single" w:sz="6" w:space="0" w:color="7A7A7A"/>
          <w:insideH w:val="single" w:sz="6" w:space="0" w:color="7A7A7A"/>
          <w:insideV w:val="single" w:sz="6" w:space="0" w:color="7A7A7A"/>
        </w:tblBorders>
      </w:tblPr>
      <w:tblGrid>
        <w:gridCol w:w="1550"/>
        <w:gridCol w:w="3300"/>
        <w:gridCol w:w="2700"/>
        <w:gridCol w:w="2250"/>
      </w:tblGrid>
      <w:tr>
        <w:trPr>
          <w:tblHeader w:val="true"/>
        </w:trPr>
        <w:tc>
          <w:tcPr>
            <w:tcW w:type="dxa" w:w="155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观察面</w:t>
            </w:r>
          </w:p>
        </w:tc>
        <w:tc>
          <w:tcPr>
            <w:tcW w:type="dxa" w:w="330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样本表现</w:t>
            </w:r>
          </w:p>
        </w:tc>
        <w:tc>
          <w:tcPr>
            <w:tcW w:type="dxa" w:w="270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下游影响</w:t>
            </w:r>
          </w:p>
        </w:tc>
        <w:tc>
          <w:tcPr>
            <w:tcW w:type="dxa" w:w="225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边界</w:t>
            </w:r>
          </w:p>
        </w:tc>
      </w:tr>
      <w:tr>
        <w:tc>
          <w:tcPr>
            <w:tcW w:type="dxa" w:w="15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Main road / rabbit hole 表</w:t>
            </w:r>
          </w:p>
        </w:tc>
        <w:tc>
          <w:tcPr>
            <w:tcW w:type="dxa" w:w="33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把主路和岔路分开。</w:t>
            </w:r>
          </w:p>
        </w:tc>
        <w:tc>
          <w:tcPr>
            <w:tcW w:type="dxa" w:w="2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让兴趣变成过程证据。</w:t>
            </w:r>
          </w:p>
        </w:tc>
        <w:tc>
          <w:tcPr>
            <w:tcW w:type="dxa" w:w="2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表格不能替代正文论证。</w:t>
            </w:r>
          </w:p>
        </w:tc>
      </w:tr>
      <w:tr>
        <w:tc>
          <w:tcPr>
            <w:tcW w:type="dxa" w:w="15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相关性检查</w:t>
            </w:r>
          </w:p>
        </w:tc>
        <w:tc>
          <w:tcPr>
            <w:tcW w:type="dxa" w:w="33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每条支线问是否服务 China/sustainability/800 words。</w:t>
            </w:r>
          </w:p>
        </w:tc>
        <w:tc>
          <w:tcPr>
            <w:tcW w:type="dxa" w:w="2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控制范围。</w:t>
            </w:r>
          </w:p>
        </w:tc>
        <w:tc>
          <w:tcPr>
            <w:tcW w:type="dxa" w:w="2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不是所有有趣都可用。</w:t>
            </w:r>
          </w:p>
        </w:tc>
      </w:tr>
      <w:tr>
        <w:tc>
          <w:tcPr>
            <w:tcW w:type="dxa" w:w="15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证据承重卡</w:t>
            </w:r>
          </w:p>
        </w:tc>
        <w:tc>
          <w:tcPr>
            <w:tcW w:type="dxa" w:w="33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NASA/Nature、OWID/GCB、World Bank 各有任务。</w:t>
            </w:r>
          </w:p>
        </w:tc>
        <w:tc>
          <w:tcPr>
            <w:tcW w:type="dxa" w:w="2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减少材料漂移。</w:t>
            </w:r>
          </w:p>
        </w:tc>
        <w:tc>
          <w:tcPr>
            <w:tcW w:type="dxa" w:w="2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支线不承重。</w:t>
            </w:r>
          </w:p>
        </w:tc>
      </w:tr>
      <w:tr>
        <w:tc>
          <w:tcPr>
            <w:tcW w:type="dxa" w:w="15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反方卡</w:t>
            </w:r>
          </w:p>
        </w:tc>
        <w:tc>
          <w:tcPr>
            <w:tcW w:type="dxa" w:w="33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co2science 提供窄反方。</w:t>
            </w:r>
          </w:p>
        </w:tc>
        <w:tc>
          <w:tcPr>
            <w:tcW w:type="dxa" w:w="2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保留让步。</w:t>
            </w:r>
          </w:p>
        </w:tc>
        <w:tc>
          <w:tcPr>
            <w:tcW w:type="dxa" w:w="2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不被 Exxon 带走。</w:t>
            </w:r>
          </w:p>
        </w:tc>
      </w:tr>
      <w:tr>
        <w:tc>
          <w:tcPr>
            <w:tcW w:type="dxa" w:w="15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Reflection</w:t>
            </w:r>
          </w:p>
        </w:tc>
        <w:tc>
          <w:tcPr>
            <w:tcW w:type="dxa" w:w="33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承认每条材料都想继续追。</w:t>
            </w:r>
          </w:p>
        </w:tc>
        <w:tc>
          <w:tcPr>
            <w:tcW w:type="dxa" w:w="2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把跑题风险转化为策略。</w:t>
            </w:r>
          </w:p>
        </w:tc>
        <w:tc>
          <w:tcPr>
            <w:tcW w:type="dxa" w:w="2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下一次要更早启动。</w:t>
            </w:r>
          </w:p>
        </w:tc>
      </w:tr>
    </w:tbl>
    <w:p>
      <w:pPr>
        <w:spacing w:before="0" w:after="60" w:line="269" w:lineRule="auto"/>
      </w:pPr>
    </w:p>
    <w:sectPr>
      <w:headerReference r:id="rId5" w:type="default"/>
      <w:footerReference r:id="rId6" w:type="default"/>
      <w:pgSz w:w="12240" w:h="15840"/>
      <w:pgMar w:top="1181" w:right="1181" w:bottom="1181" w:left="118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_GB2312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altName w:val="楷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-简">
    <w:panose1 w:val="02010600040101010101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87F9C3">
    <w:pPr>
      <w:pStyle w:val="24"/>
      <w:jc w:val="center"/>
    </w:pPr>
    <w:r/>
    <w:r>
      <w:rPr>
        <w:rFonts w:ascii="Times New Roman" w:hAnsi="Times New Roman" w:eastAsia="楷体"/>
        <w:b w:val="0"/>
        <w:color w:val="666666"/>
        <w:sz w:val="17"/>
      </w:rPr>
      <w:t>思维印记 · 学生画像7过程观察报告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D98E3D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E7F52D2D"/>
    <w:rsid w:val="F3BAA6A4"/>
    <w:rsid w:val="FABA2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yujie chen</cp:lastModifiedBy>
  <dcterms:modified xsi:type="dcterms:W3CDTF">2026-07-30T12:14:26Z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E3E92A94450198BEFF296A6AFF1F969B_42</vt:lpwstr>
  </property>
</Properties>
</file>