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B81A54" w14:textId="77777777" w:rsidR="00C342D4" w:rsidRDefault="00000000">
      <w:pPr>
        <w:spacing w:before="120" w:after="240"/>
        <w:ind w:firstLine="0"/>
        <w:jc w:val="center"/>
        <w:rPr>
          <w:lang w:eastAsia="zh-CN"/>
        </w:rPr>
      </w:pPr>
      <w:r>
        <w:rPr>
          <w:rFonts w:ascii="黑体" w:eastAsia="黑体" w:hAnsi="黑体"/>
          <w:b/>
          <w:sz w:val="44"/>
          <w:lang w:eastAsia="zh-CN"/>
        </w:rPr>
        <w:t>性别化的信息领域参与:微博账号的公共事务与明星文化传播和表达</w:t>
      </w:r>
    </w:p>
    <w:p w14:paraId="1BD7098B" w14:textId="77777777" w:rsidR="004D6C43" w:rsidRDefault="00000000">
      <w:pPr>
        <w:pStyle w:val="1"/>
        <w:spacing w:before="120" w:after="240"/>
        <w:rPr>
          <w:lang w:eastAsia="zh-CN"/>
        </w:rPr>
      </w:pPr>
      <w:r>
        <w:rPr>
          <w:rFonts w:ascii="Times New Roman" w:eastAsia="Heiti SC" w:hAnsi="Times New Roman"/>
          <w:lang w:eastAsia="zh-CN"/>
        </w:rPr>
        <w:t>摘要</w:t>
      </w:r>
    </w:p>
    <w:p w14:paraId="2395EB18" w14:textId="5F739FBB" w:rsidR="003230D1" w:rsidRPr="00B31ED9" w:rsidRDefault="00000000" w:rsidP="00B31ED9">
      <w:pPr>
        <w:spacing w:before="120" w:after="240"/>
        <w:jc w:val="both"/>
        <w:rPr>
          <w:rFonts w:eastAsia="Songti SC"/>
          <w:color w:val="000000"/>
          <w:lang w:eastAsia="zh-CN"/>
        </w:rPr>
      </w:pPr>
      <w:r>
        <w:rPr>
          <w:rFonts w:eastAsia="Songti SC"/>
          <w:color w:val="000000"/>
          <w:lang w:eastAsia="zh-CN"/>
        </w:rPr>
        <w:t>数字不平等研究长期关注男性和女性能否获得互联网接入及基本使用条件。随着互联网日益普及，性别差异逐渐从是否接入互联网延伸到以何种方式参与互联网。针对这一问题，本文使用</w:t>
      </w:r>
      <w:r>
        <w:rPr>
          <w:rFonts w:eastAsia="Songti SC"/>
          <w:color w:val="000000"/>
          <w:lang w:eastAsia="zh-CN"/>
        </w:rPr>
        <w:t>2020</w:t>
      </w:r>
      <w:r>
        <w:rPr>
          <w:rFonts w:eastAsia="Songti SC"/>
          <w:color w:val="000000"/>
          <w:lang w:eastAsia="zh-CN"/>
        </w:rPr>
        <w:t>年微博</w:t>
      </w:r>
      <w:r>
        <w:rPr>
          <w:rFonts w:eastAsia="Songti SC"/>
          <w:color w:val="000000"/>
          <w:lang w:eastAsia="zh-CN"/>
        </w:rPr>
        <w:t>225,339</w:t>
      </w:r>
      <w:r>
        <w:rPr>
          <w:rFonts w:eastAsia="Songti SC"/>
          <w:color w:val="000000"/>
          <w:lang w:eastAsia="zh-CN"/>
        </w:rPr>
        <w:t>个账号及其</w:t>
      </w:r>
      <w:r>
        <w:rPr>
          <w:rFonts w:eastAsia="Songti SC"/>
          <w:color w:val="000000"/>
          <w:lang w:eastAsia="zh-CN"/>
        </w:rPr>
        <w:t>146,811,818</w:t>
      </w:r>
      <w:r>
        <w:rPr>
          <w:rFonts w:eastAsia="Songti SC"/>
          <w:color w:val="000000"/>
          <w:lang w:eastAsia="zh-CN"/>
        </w:rPr>
        <w:t>条帖子，分析不同性别账号在公共事务领域和明星文化领域的信息消费与内容表达特征。研究结果显示，在发帖量、转发量和活跃时间相近的账号中，男性账号参与公共事务信息消费的平均概率为</w:t>
      </w:r>
      <w:r>
        <w:rPr>
          <w:rFonts w:eastAsia="Songti SC"/>
          <w:color w:val="000000"/>
          <w:lang w:eastAsia="zh-CN"/>
        </w:rPr>
        <w:t>14.15%</w:t>
      </w:r>
      <w:r>
        <w:rPr>
          <w:rFonts w:eastAsia="Songti SC"/>
          <w:color w:val="000000"/>
          <w:lang w:eastAsia="zh-CN"/>
        </w:rPr>
        <w:t>，显著高于女性账号的</w:t>
      </w:r>
      <w:r>
        <w:rPr>
          <w:rFonts w:eastAsia="Songti SC"/>
          <w:color w:val="000000"/>
          <w:lang w:eastAsia="zh-CN"/>
        </w:rPr>
        <w:t>10.52%</w:t>
      </w:r>
      <w:r>
        <w:rPr>
          <w:rFonts w:eastAsia="Songti SC"/>
          <w:color w:val="000000"/>
          <w:lang w:eastAsia="zh-CN"/>
        </w:rPr>
        <w:t>；女性账号参与明星文化信息消费的平均概率为</w:t>
      </w:r>
      <w:r>
        <w:rPr>
          <w:rFonts w:eastAsia="Songti SC"/>
          <w:color w:val="000000"/>
          <w:lang w:eastAsia="zh-CN"/>
        </w:rPr>
        <w:t>6.93%</w:t>
      </w:r>
      <w:r>
        <w:rPr>
          <w:rFonts w:eastAsia="Songti SC"/>
          <w:color w:val="000000"/>
          <w:lang w:eastAsia="zh-CN"/>
        </w:rPr>
        <w:t>，显著高于男性账号的</w:t>
      </w:r>
      <w:r>
        <w:rPr>
          <w:rFonts w:eastAsia="Songti SC"/>
          <w:color w:val="000000"/>
          <w:lang w:eastAsia="zh-CN"/>
        </w:rPr>
        <w:t>5.40%</w:t>
      </w:r>
      <w:r>
        <w:rPr>
          <w:rFonts w:eastAsia="Songti SC"/>
          <w:color w:val="000000"/>
          <w:lang w:eastAsia="zh-CN"/>
        </w:rPr>
        <w:t>。在内容表达方面，男性账号发布的公共事务内容比例约为女性账号的</w:t>
      </w:r>
      <w:r>
        <w:rPr>
          <w:rFonts w:eastAsia="Songti SC"/>
          <w:color w:val="000000"/>
          <w:lang w:eastAsia="zh-CN"/>
        </w:rPr>
        <w:t>2.36</w:t>
      </w:r>
      <w:r>
        <w:rPr>
          <w:rFonts w:eastAsia="Songti SC"/>
          <w:color w:val="000000"/>
          <w:lang w:eastAsia="zh-CN"/>
        </w:rPr>
        <w:t>倍，女性账号发布的明星文化内容比例约为男性账号的</w:t>
      </w:r>
      <w:r>
        <w:rPr>
          <w:rFonts w:eastAsia="Songti SC"/>
          <w:color w:val="000000"/>
          <w:lang w:eastAsia="zh-CN"/>
        </w:rPr>
        <w:t>2.27</w:t>
      </w:r>
      <w:r>
        <w:rPr>
          <w:rFonts w:eastAsia="Songti SC"/>
          <w:color w:val="000000"/>
          <w:lang w:eastAsia="zh-CN"/>
        </w:rPr>
        <w:t>倍，两项差异均达到统计显著水平。个人账号、男女平衡样本、极端值处理、观察月份、来源账号选择和词表构造等稳健性分析均得到一致</w:t>
      </w:r>
      <w:r w:rsidR="007D0268">
        <w:rPr>
          <w:rFonts w:eastAsia="Songti SC" w:hint="eastAsia"/>
          <w:color w:val="000000"/>
          <w:lang w:eastAsia="zh-CN"/>
        </w:rPr>
        <w:t>结论</w:t>
      </w:r>
      <w:r>
        <w:rPr>
          <w:rFonts w:eastAsia="Songti SC"/>
          <w:color w:val="000000"/>
          <w:lang w:eastAsia="zh-CN"/>
        </w:rPr>
        <w:t>。研究表明，网络普及之后的数字性别差异同时体现于参与领域和参与方式：男性账号相对偏向公共事务领域，女性账号相对偏向明星文化领域。</w:t>
      </w:r>
    </w:p>
    <w:p w14:paraId="4968CA24" w14:textId="77777777" w:rsidR="00275A05" w:rsidRPr="00B31ED9" w:rsidRDefault="00000000">
      <w:pPr>
        <w:spacing w:before="120" w:after="240"/>
        <w:ind w:firstLine="0"/>
        <w:jc w:val="both"/>
        <w:rPr>
          <w:rFonts w:eastAsia="Songti SC"/>
          <w:color w:val="000000"/>
          <w:lang w:eastAsia="zh-CN"/>
        </w:rPr>
      </w:pPr>
      <w:r w:rsidRPr="004E135F">
        <w:rPr>
          <w:rFonts w:ascii="黑体" w:eastAsia="黑体" w:hAnsi="黑体"/>
          <w:bCs/>
          <w:color w:val="000000"/>
          <w:lang w:eastAsia="zh-CN"/>
        </w:rPr>
        <w:t>关键词</w:t>
      </w:r>
      <w:r>
        <w:rPr>
          <w:rFonts w:eastAsia="Songti SC"/>
          <w:b/>
          <w:color w:val="000000"/>
          <w:lang w:eastAsia="zh-CN"/>
        </w:rPr>
        <w:t>：</w:t>
      </w:r>
      <w:r>
        <w:rPr>
          <w:rFonts w:eastAsia="Songti SC"/>
          <w:color w:val="000000"/>
          <w:lang w:eastAsia="zh-CN"/>
        </w:rPr>
        <w:t>社交媒体；信息领域参与；性别差异</w:t>
      </w:r>
    </w:p>
    <w:p w14:paraId="541F996C" w14:textId="77777777" w:rsidR="004D6C43" w:rsidRDefault="00000000">
      <w:pPr>
        <w:pStyle w:val="1"/>
        <w:spacing w:before="120" w:after="240"/>
        <w:rPr>
          <w:lang w:eastAsia="zh-CN"/>
        </w:rPr>
      </w:pPr>
      <w:r>
        <w:rPr>
          <w:rFonts w:ascii="Times New Roman" w:eastAsia="Heiti SC" w:hAnsi="Times New Roman"/>
          <w:lang w:eastAsia="zh-CN"/>
        </w:rPr>
        <w:t>一、引言</w:t>
      </w:r>
    </w:p>
    <w:p w14:paraId="5B4DB5F9" w14:textId="77777777" w:rsidR="004D6C43" w:rsidRDefault="00000000">
      <w:pPr>
        <w:spacing w:before="120" w:after="240"/>
        <w:jc w:val="both"/>
        <w:rPr>
          <w:lang w:eastAsia="zh-CN"/>
        </w:rPr>
      </w:pPr>
      <w:r>
        <w:rPr>
          <w:rFonts w:eastAsia="Songti SC"/>
          <w:color w:val="000000"/>
          <w:lang w:eastAsia="zh-CN"/>
        </w:rPr>
        <w:t>数字不平等研究早期主要考察不同群体能否接入互联网，以及是否具备基本的设备和连接条件。随着互联网渗透率提高，接入差异逐渐缩小，研究重心转向数字技能、使用方式和使用收益（</w:t>
      </w:r>
      <w:r>
        <w:rPr>
          <w:rFonts w:eastAsia="Songti SC"/>
          <w:color w:val="000000"/>
          <w:lang w:eastAsia="zh-CN"/>
        </w:rPr>
        <w:t>DiMaggio</w:t>
      </w:r>
      <w:r>
        <w:rPr>
          <w:rFonts w:eastAsia="Songti SC"/>
          <w:color w:val="000000"/>
          <w:lang w:eastAsia="zh-CN"/>
        </w:rPr>
        <w:t>和</w:t>
      </w:r>
      <w:r>
        <w:rPr>
          <w:rFonts w:eastAsia="Songti SC"/>
          <w:color w:val="000000"/>
          <w:lang w:eastAsia="zh-CN"/>
        </w:rPr>
        <w:t>Hargittai</w:t>
      </w:r>
      <w:r>
        <w:rPr>
          <w:rFonts w:eastAsia="Songti SC"/>
          <w:color w:val="000000"/>
          <w:lang w:eastAsia="zh-CN"/>
        </w:rPr>
        <w:t>，</w:t>
      </w:r>
      <w:r>
        <w:rPr>
          <w:rFonts w:eastAsia="Songti SC"/>
          <w:color w:val="000000"/>
          <w:lang w:eastAsia="zh-CN"/>
        </w:rPr>
        <w:t>2001</w:t>
      </w:r>
      <w:r>
        <w:rPr>
          <w:rFonts w:eastAsia="Songti SC"/>
          <w:color w:val="000000"/>
          <w:lang w:eastAsia="zh-CN"/>
        </w:rPr>
        <w:t>；</w:t>
      </w:r>
      <w:r>
        <w:rPr>
          <w:rFonts w:eastAsia="Songti SC"/>
          <w:color w:val="000000"/>
          <w:lang w:eastAsia="zh-CN"/>
        </w:rPr>
        <w:t>Hargittai</w:t>
      </w:r>
      <w:r>
        <w:rPr>
          <w:rFonts w:eastAsia="Songti SC"/>
          <w:color w:val="000000"/>
          <w:lang w:eastAsia="zh-CN"/>
        </w:rPr>
        <w:t>，</w:t>
      </w:r>
      <w:r>
        <w:rPr>
          <w:rFonts w:eastAsia="Songti SC"/>
          <w:color w:val="000000"/>
          <w:lang w:eastAsia="zh-CN"/>
        </w:rPr>
        <w:t>2002</w:t>
      </w:r>
      <w:r>
        <w:rPr>
          <w:rFonts w:eastAsia="Songti SC"/>
          <w:color w:val="000000"/>
          <w:lang w:eastAsia="zh-CN"/>
        </w:rPr>
        <w:t>；</w:t>
      </w:r>
      <w:r>
        <w:rPr>
          <w:rFonts w:eastAsia="Songti SC"/>
          <w:color w:val="000000"/>
          <w:lang w:eastAsia="zh-CN"/>
        </w:rPr>
        <w:t>van Deursen</w:t>
      </w:r>
      <w:r>
        <w:rPr>
          <w:rFonts w:eastAsia="Songti SC"/>
          <w:color w:val="000000"/>
          <w:lang w:eastAsia="zh-CN"/>
        </w:rPr>
        <w:t>和</w:t>
      </w:r>
      <w:r>
        <w:rPr>
          <w:rFonts w:eastAsia="Songti SC"/>
          <w:color w:val="000000"/>
          <w:lang w:eastAsia="zh-CN"/>
        </w:rPr>
        <w:t>van Dijk</w:t>
      </w:r>
      <w:r>
        <w:rPr>
          <w:rFonts w:eastAsia="Songti SC"/>
          <w:color w:val="000000"/>
          <w:lang w:eastAsia="zh-CN"/>
        </w:rPr>
        <w:t>，</w:t>
      </w:r>
      <w:r>
        <w:rPr>
          <w:rFonts w:eastAsia="Songti SC"/>
          <w:color w:val="000000"/>
          <w:lang w:eastAsia="zh-CN"/>
        </w:rPr>
        <w:t>2014</w:t>
      </w:r>
      <w:r>
        <w:rPr>
          <w:rFonts w:eastAsia="Songti SC"/>
          <w:color w:val="000000"/>
          <w:lang w:eastAsia="zh-CN"/>
        </w:rPr>
        <w:t>）。这意味着，判断不同群体是否处于平等的数字环境，不能只看他们能否上网，还要考察他们如何使用网络、获得何种信息以及能否把数字资源转化为实际收益。社交媒体进一步拓展了这一问题。公共政策、社会事件、明星动态、文化产品和日常交往持续出现在同一信息流中，用户既可以浏览和转发既有信息，也可以评论和发布内容。平台提供了共同入口，却同时形成了高度分化的信息选择，使数字性别差异可能表现为不同群体进入哪些信息领域，以及以何种方式参与这些领域。</w:t>
      </w:r>
    </w:p>
    <w:p w14:paraId="4F4B0752" w14:textId="77777777" w:rsidR="004D6C43" w:rsidRDefault="00000000">
      <w:pPr>
        <w:spacing w:before="120" w:after="240"/>
        <w:jc w:val="both"/>
        <w:rPr>
          <w:lang w:eastAsia="zh-CN"/>
        </w:rPr>
      </w:pPr>
      <w:r>
        <w:rPr>
          <w:rFonts w:eastAsia="Songti SC"/>
          <w:color w:val="000000"/>
          <w:lang w:eastAsia="zh-CN"/>
        </w:rPr>
        <w:t>这种分化在公共事务与明星文化之间尤其值得关注。政治兴趣、新闻使用和政治参与研究长期发现男女差异，但差异幅度会随议题范围和参与形式变化（</w:t>
      </w:r>
      <w:r>
        <w:rPr>
          <w:rFonts w:eastAsia="Songti SC"/>
          <w:color w:val="000000"/>
          <w:lang w:eastAsia="zh-CN"/>
        </w:rPr>
        <w:t>Verba</w:t>
      </w:r>
      <w:r>
        <w:rPr>
          <w:rFonts w:eastAsia="Songti SC"/>
          <w:color w:val="000000"/>
          <w:lang w:eastAsia="zh-CN"/>
        </w:rPr>
        <w:t>、</w:t>
      </w:r>
      <w:r>
        <w:rPr>
          <w:rFonts w:eastAsia="Songti SC"/>
          <w:color w:val="000000"/>
          <w:lang w:eastAsia="zh-CN"/>
        </w:rPr>
        <w:t>Burns</w:t>
      </w:r>
      <w:r>
        <w:rPr>
          <w:rFonts w:eastAsia="Songti SC"/>
          <w:color w:val="000000"/>
          <w:lang w:eastAsia="zh-CN"/>
        </w:rPr>
        <w:t>和</w:t>
      </w:r>
      <w:r>
        <w:rPr>
          <w:rFonts w:eastAsia="Songti SC"/>
          <w:color w:val="000000"/>
          <w:lang w:eastAsia="zh-CN"/>
        </w:rPr>
        <w:t>Schlozman</w:t>
      </w:r>
      <w:r>
        <w:rPr>
          <w:rFonts w:eastAsia="Songti SC"/>
          <w:color w:val="000000"/>
          <w:lang w:eastAsia="zh-CN"/>
        </w:rPr>
        <w:t>，</w:t>
      </w:r>
      <w:r>
        <w:rPr>
          <w:rFonts w:eastAsia="Songti SC"/>
          <w:color w:val="000000"/>
          <w:lang w:eastAsia="zh-CN"/>
        </w:rPr>
        <w:t>1997</w:t>
      </w:r>
      <w:r>
        <w:rPr>
          <w:rFonts w:eastAsia="Songti SC"/>
          <w:color w:val="000000"/>
          <w:lang w:eastAsia="zh-CN"/>
        </w:rPr>
        <w:t>；</w:t>
      </w:r>
      <w:r>
        <w:rPr>
          <w:rFonts w:eastAsia="Songti SC"/>
          <w:color w:val="000000"/>
          <w:lang w:eastAsia="zh-CN"/>
        </w:rPr>
        <w:t>Coffé</w:t>
      </w:r>
      <w:r>
        <w:rPr>
          <w:rFonts w:eastAsia="Songti SC"/>
          <w:color w:val="000000"/>
          <w:lang w:eastAsia="zh-CN"/>
        </w:rPr>
        <w:t>，</w:t>
      </w:r>
      <w:r>
        <w:rPr>
          <w:rFonts w:eastAsia="Songti SC"/>
          <w:color w:val="000000"/>
          <w:lang w:eastAsia="zh-CN"/>
        </w:rPr>
        <w:t>2013</w:t>
      </w:r>
      <w:r>
        <w:rPr>
          <w:rFonts w:eastAsia="Songti SC"/>
          <w:color w:val="000000"/>
          <w:lang w:eastAsia="zh-CN"/>
        </w:rPr>
        <w:t>；</w:t>
      </w:r>
      <w:r>
        <w:rPr>
          <w:rFonts w:eastAsia="Songti SC"/>
          <w:color w:val="000000"/>
          <w:lang w:eastAsia="zh-CN"/>
        </w:rPr>
        <w:t>Ferrín</w:t>
      </w:r>
      <w:r>
        <w:rPr>
          <w:rFonts w:eastAsia="Songti SC"/>
          <w:color w:val="000000"/>
          <w:lang w:eastAsia="zh-CN"/>
        </w:rPr>
        <w:t>等，</w:t>
      </w:r>
      <w:r>
        <w:rPr>
          <w:rFonts w:eastAsia="Songti SC"/>
          <w:color w:val="000000"/>
          <w:lang w:eastAsia="zh-CN"/>
        </w:rPr>
        <w:t>2020</w:t>
      </w:r>
      <w:r>
        <w:rPr>
          <w:rFonts w:eastAsia="Songti SC"/>
          <w:color w:val="000000"/>
          <w:lang w:eastAsia="zh-CN"/>
        </w:rPr>
        <w:t>）。当地方事务、社会政策和日常生活议题进入测量时，传统政治兴趣指标中的性别差距往往缩小。与此同时，高选择媒介环境使新闻与娱乐偏好成为组织信息消费的重要力量（</w:t>
      </w:r>
      <w:r>
        <w:rPr>
          <w:rFonts w:eastAsia="Songti SC"/>
          <w:color w:val="000000"/>
          <w:lang w:eastAsia="zh-CN"/>
        </w:rPr>
        <w:t>Prior</w:t>
      </w:r>
      <w:r>
        <w:rPr>
          <w:rFonts w:eastAsia="Songti SC"/>
          <w:color w:val="000000"/>
          <w:lang w:eastAsia="zh-CN"/>
        </w:rPr>
        <w:t>，</w:t>
      </w:r>
      <w:r>
        <w:rPr>
          <w:rFonts w:eastAsia="Songti SC"/>
          <w:color w:val="000000"/>
          <w:lang w:eastAsia="zh-CN"/>
        </w:rPr>
        <w:t>2005</w:t>
      </w:r>
      <w:r>
        <w:rPr>
          <w:rFonts w:eastAsia="Songti SC"/>
          <w:color w:val="000000"/>
          <w:lang w:eastAsia="zh-CN"/>
        </w:rPr>
        <w:t>；</w:t>
      </w:r>
      <w:r>
        <w:rPr>
          <w:rFonts w:eastAsia="Songti SC"/>
          <w:color w:val="000000"/>
          <w:lang w:eastAsia="zh-CN"/>
        </w:rPr>
        <w:t>Strömbäck</w:t>
      </w:r>
      <w:r>
        <w:rPr>
          <w:rFonts w:eastAsia="Songti SC"/>
          <w:color w:val="000000"/>
          <w:lang w:eastAsia="zh-CN"/>
        </w:rPr>
        <w:t>、</w:t>
      </w:r>
      <w:r>
        <w:rPr>
          <w:rFonts w:eastAsia="Songti SC"/>
          <w:color w:val="000000"/>
          <w:lang w:eastAsia="zh-CN"/>
        </w:rPr>
        <w:t>Djerf-Pierre</w:t>
      </w:r>
      <w:r>
        <w:rPr>
          <w:rFonts w:eastAsia="Songti SC"/>
          <w:color w:val="000000"/>
          <w:lang w:eastAsia="zh-CN"/>
        </w:rPr>
        <w:t>和</w:t>
      </w:r>
      <w:r>
        <w:rPr>
          <w:rFonts w:eastAsia="Songti SC"/>
          <w:color w:val="000000"/>
          <w:lang w:eastAsia="zh-CN"/>
        </w:rPr>
        <w:t>Shehata</w:t>
      </w:r>
      <w:r>
        <w:rPr>
          <w:rFonts w:eastAsia="Songti SC"/>
          <w:color w:val="000000"/>
          <w:lang w:eastAsia="zh-CN"/>
        </w:rPr>
        <w:t>，</w:t>
      </w:r>
      <w:r>
        <w:rPr>
          <w:rFonts w:eastAsia="Songti SC"/>
          <w:color w:val="000000"/>
          <w:lang w:eastAsia="zh-CN"/>
        </w:rPr>
        <w:t>2013</w:t>
      </w:r>
      <w:r>
        <w:rPr>
          <w:rFonts w:eastAsia="Songti SC"/>
          <w:color w:val="000000"/>
          <w:lang w:eastAsia="zh-CN"/>
        </w:rPr>
        <w:t>）。在中国社交媒体上，明星文化也形成了由转发、评论、内容生产和平台指标共同维持的参与体系（</w:t>
      </w:r>
      <w:r>
        <w:rPr>
          <w:rFonts w:eastAsia="Songti SC"/>
          <w:color w:val="000000"/>
          <w:lang w:eastAsia="zh-CN"/>
        </w:rPr>
        <w:t>Yin</w:t>
      </w:r>
      <w:r>
        <w:rPr>
          <w:rFonts w:eastAsia="Songti SC"/>
          <w:color w:val="000000"/>
          <w:lang w:eastAsia="zh-CN"/>
        </w:rPr>
        <w:t>，</w:t>
      </w:r>
      <w:r>
        <w:rPr>
          <w:rFonts w:eastAsia="Songti SC"/>
          <w:color w:val="000000"/>
          <w:lang w:eastAsia="zh-CN"/>
        </w:rPr>
        <w:t>2020</w:t>
      </w:r>
      <w:r>
        <w:rPr>
          <w:rFonts w:eastAsia="Songti SC"/>
          <w:color w:val="000000"/>
          <w:lang w:eastAsia="zh-CN"/>
        </w:rPr>
        <w:t>；</w:t>
      </w:r>
      <w:r>
        <w:rPr>
          <w:rFonts w:eastAsia="Songti SC"/>
          <w:color w:val="000000"/>
          <w:lang w:eastAsia="zh-CN"/>
        </w:rPr>
        <w:t>Zhang</w:t>
      </w:r>
      <w:r>
        <w:rPr>
          <w:rFonts w:eastAsia="Songti SC"/>
          <w:color w:val="000000"/>
          <w:lang w:eastAsia="zh-CN"/>
        </w:rPr>
        <w:t>和</w:t>
      </w:r>
      <w:r>
        <w:rPr>
          <w:rFonts w:eastAsia="Songti SC"/>
          <w:color w:val="000000"/>
          <w:lang w:eastAsia="zh-CN"/>
        </w:rPr>
        <w:t>Negus</w:t>
      </w:r>
      <w:r>
        <w:rPr>
          <w:rFonts w:eastAsia="Songti SC"/>
          <w:color w:val="000000"/>
          <w:lang w:eastAsia="zh-CN"/>
        </w:rPr>
        <w:t>，</w:t>
      </w:r>
      <w:r>
        <w:rPr>
          <w:rFonts w:eastAsia="Songti SC"/>
          <w:color w:val="000000"/>
          <w:lang w:eastAsia="zh-CN"/>
        </w:rPr>
        <w:t>2020</w:t>
      </w:r>
      <w:r>
        <w:rPr>
          <w:rFonts w:eastAsia="Songti SC"/>
          <w:color w:val="000000"/>
          <w:lang w:eastAsia="zh-CN"/>
        </w:rPr>
        <w:t>；</w:t>
      </w:r>
      <w:r>
        <w:rPr>
          <w:rFonts w:eastAsia="Songti SC"/>
          <w:color w:val="000000"/>
          <w:lang w:eastAsia="zh-CN"/>
        </w:rPr>
        <w:t>He</w:t>
      </w:r>
      <w:r>
        <w:rPr>
          <w:rFonts w:eastAsia="Songti SC"/>
          <w:color w:val="000000"/>
          <w:lang w:eastAsia="zh-CN"/>
        </w:rPr>
        <w:t>和</w:t>
      </w:r>
      <w:r>
        <w:rPr>
          <w:rFonts w:eastAsia="Songti SC"/>
          <w:color w:val="000000"/>
          <w:lang w:eastAsia="zh-CN"/>
        </w:rPr>
        <w:t>Li</w:t>
      </w:r>
      <w:r>
        <w:rPr>
          <w:rFonts w:eastAsia="Songti SC"/>
          <w:color w:val="000000"/>
          <w:lang w:eastAsia="zh-CN"/>
        </w:rPr>
        <w:t>，</w:t>
      </w:r>
      <w:r>
        <w:rPr>
          <w:rFonts w:eastAsia="Songti SC"/>
          <w:color w:val="000000"/>
          <w:lang w:eastAsia="zh-CN"/>
        </w:rPr>
        <w:t>2023</w:t>
      </w:r>
      <w:r>
        <w:rPr>
          <w:rFonts w:eastAsia="Songti SC"/>
          <w:color w:val="000000"/>
          <w:lang w:eastAsia="zh-CN"/>
        </w:rPr>
        <w:t>）。公共事务与明星文化由此构成两个具有不同社会意义、又同时存在于同一平台的信息领域。进一步说，转发某类来源与公开谈论某类议题也不是同一种行为，前者留下信息</w:t>
      </w:r>
      <w:r>
        <w:rPr>
          <w:rFonts w:eastAsia="Songti SC"/>
          <w:color w:val="000000"/>
          <w:lang w:eastAsia="zh-CN"/>
        </w:rPr>
        <w:lastRenderedPageBreak/>
        <w:t>消费和传播的痕迹，后者使议题进入账号的公开表达，两种参与方式面对的表达成本、受众判断和社会评价并不相同（</w:t>
      </w:r>
      <w:r>
        <w:rPr>
          <w:rFonts w:eastAsia="Songti SC"/>
          <w:color w:val="000000"/>
          <w:lang w:eastAsia="zh-CN"/>
        </w:rPr>
        <w:t>Bode</w:t>
      </w:r>
      <w:r>
        <w:rPr>
          <w:rFonts w:eastAsia="Songti SC"/>
          <w:color w:val="000000"/>
          <w:lang w:eastAsia="zh-CN"/>
        </w:rPr>
        <w:t>，</w:t>
      </w:r>
      <w:r>
        <w:rPr>
          <w:rFonts w:eastAsia="Songti SC"/>
          <w:color w:val="000000"/>
          <w:lang w:eastAsia="zh-CN"/>
        </w:rPr>
        <w:t>2017</w:t>
      </w:r>
      <w:r>
        <w:rPr>
          <w:rFonts w:eastAsia="Songti SC"/>
          <w:color w:val="000000"/>
          <w:lang w:eastAsia="zh-CN"/>
        </w:rPr>
        <w:t>；</w:t>
      </w:r>
      <w:r>
        <w:rPr>
          <w:rFonts w:eastAsia="Songti SC"/>
          <w:color w:val="000000"/>
          <w:lang w:eastAsia="zh-CN"/>
        </w:rPr>
        <w:t>Koc-Michalska</w:t>
      </w:r>
      <w:r>
        <w:rPr>
          <w:rFonts w:eastAsia="Songti SC"/>
          <w:color w:val="000000"/>
          <w:lang w:eastAsia="zh-CN"/>
        </w:rPr>
        <w:t>等，</w:t>
      </w:r>
      <w:r>
        <w:rPr>
          <w:rFonts w:eastAsia="Songti SC"/>
          <w:color w:val="000000"/>
          <w:lang w:eastAsia="zh-CN"/>
        </w:rPr>
        <w:t>2021</w:t>
      </w:r>
      <w:r>
        <w:rPr>
          <w:rFonts w:eastAsia="Songti SC"/>
          <w:color w:val="000000"/>
          <w:lang w:eastAsia="zh-CN"/>
        </w:rPr>
        <w:t>）。</w:t>
      </w:r>
    </w:p>
    <w:p w14:paraId="0C64A3EB" w14:textId="77777777" w:rsidR="004D6C43" w:rsidRDefault="00000000">
      <w:pPr>
        <w:spacing w:before="120" w:after="240"/>
        <w:jc w:val="both"/>
        <w:rPr>
          <w:lang w:eastAsia="zh-CN"/>
        </w:rPr>
      </w:pPr>
      <w:r>
        <w:rPr>
          <w:rFonts w:eastAsia="Songti SC"/>
          <w:color w:val="000000"/>
          <w:lang w:eastAsia="zh-CN"/>
        </w:rPr>
        <w:t>本文由此关注一个核心问题：网络接入日益普及之后，不同性别账号在公共事务领域和明星文化领域的信息消费与内容表达呈现出怎样的差异？为回答这一问题，本文构建由两个信息领域和两种参与方式组成的研究框架。两个信息领域分别是以社会热点、公共政策和社会事件为中心的公共事务领域，以及以演员、歌手等演艺明星为中心的明星文化领域；两种参与方式分别是通过转发特定领域来源进入信息传播链条的信息消费，以及在公开文字帖中谈论相关议题的内容表达。本文使用</w:t>
      </w:r>
      <w:r>
        <w:rPr>
          <w:rFonts w:eastAsia="Songti SC"/>
          <w:color w:val="000000"/>
          <w:lang w:eastAsia="zh-CN"/>
        </w:rPr>
        <w:t>2020</w:t>
      </w:r>
      <w:r>
        <w:rPr>
          <w:rFonts w:eastAsia="Songti SC"/>
          <w:color w:val="000000"/>
          <w:lang w:eastAsia="zh-CN"/>
        </w:rPr>
        <w:t>年微博</w:t>
      </w:r>
      <w:r>
        <w:rPr>
          <w:rFonts w:eastAsia="Songti SC"/>
          <w:color w:val="000000"/>
          <w:lang w:eastAsia="zh-CN"/>
        </w:rPr>
        <w:t>225,339</w:t>
      </w:r>
      <w:r>
        <w:rPr>
          <w:rFonts w:eastAsia="Songti SC"/>
          <w:color w:val="000000"/>
          <w:lang w:eastAsia="zh-CN"/>
        </w:rPr>
        <w:t>个账号及其</w:t>
      </w:r>
      <w:r>
        <w:rPr>
          <w:rFonts w:eastAsia="Songti SC"/>
          <w:color w:val="000000"/>
          <w:lang w:eastAsia="zh-CN"/>
        </w:rPr>
        <w:t>146,811,818</w:t>
      </w:r>
      <w:r>
        <w:rPr>
          <w:rFonts w:eastAsia="Songti SC"/>
          <w:color w:val="000000"/>
          <w:lang w:eastAsia="zh-CN"/>
        </w:rPr>
        <w:t>条帖子，在同一批账号和同一观察期内形成四项相互对应的测量，进而比较不同性别账号在两个信息领域和两种参与方式中的参与特征。</w:t>
      </w:r>
    </w:p>
    <w:p w14:paraId="0BF11AA8" w14:textId="77777777" w:rsidR="004D6C43" w:rsidRDefault="00000000">
      <w:pPr>
        <w:pStyle w:val="1"/>
        <w:spacing w:before="120" w:after="240"/>
        <w:rPr>
          <w:lang w:eastAsia="zh-CN"/>
        </w:rPr>
      </w:pPr>
      <w:r>
        <w:rPr>
          <w:rFonts w:ascii="Times New Roman" w:eastAsia="Heiti SC" w:hAnsi="Times New Roman"/>
          <w:lang w:eastAsia="zh-CN"/>
        </w:rPr>
        <w:t>二、文献回顾与分析框架</w:t>
      </w:r>
    </w:p>
    <w:p w14:paraId="3B985FEB" w14:textId="77777777" w:rsidR="004D6C43" w:rsidRDefault="00000000">
      <w:pPr>
        <w:pStyle w:val="21"/>
        <w:spacing w:before="120" w:after="240"/>
        <w:rPr>
          <w:lang w:eastAsia="zh-CN"/>
        </w:rPr>
      </w:pPr>
      <w:r>
        <w:rPr>
          <w:rFonts w:ascii="Times New Roman" w:eastAsia="Heiti SC" w:hAnsi="Times New Roman"/>
          <w:lang w:eastAsia="zh-CN"/>
        </w:rPr>
        <w:t>（一）数字不平等中的性别差异：从接入到使用</w:t>
      </w:r>
    </w:p>
    <w:p w14:paraId="5FA49FBF" w14:textId="77777777" w:rsidR="004D6C43" w:rsidRDefault="00000000">
      <w:pPr>
        <w:spacing w:before="120" w:after="240"/>
        <w:jc w:val="both"/>
        <w:rPr>
          <w:lang w:eastAsia="zh-CN"/>
        </w:rPr>
      </w:pPr>
      <w:r>
        <w:rPr>
          <w:rFonts w:eastAsia="Songti SC"/>
          <w:color w:val="000000"/>
          <w:lang w:eastAsia="zh-CN"/>
        </w:rPr>
        <w:t>数字鸿沟研究最初主要用设备拥有和网络接入识别不平等。随着互联网普及，研究者开始强调接入之后的差异，包括使用自主性、数字技能、使用目的和由网络使用获得的收益（</w:t>
      </w:r>
      <w:r>
        <w:rPr>
          <w:rFonts w:eastAsia="Songti SC"/>
          <w:color w:val="000000"/>
          <w:lang w:eastAsia="zh-CN"/>
        </w:rPr>
        <w:t>DiMaggio</w:t>
      </w:r>
      <w:r>
        <w:rPr>
          <w:rFonts w:eastAsia="Songti SC"/>
          <w:color w:val="000000"/>
          <w:lang w:eastAsia="zh-CN"/>
        </w:rPr>
        <w:t>和</w:t>
      </w:r>
      <w:r>
        <w:rPr>
          <w:rFonts w:eastAsia="Songti SC"/>
          <w:color w:val="000000"/>
          <w:lang w:eastAsia="zh-CN"/>
        </w:rPr>
        <w:t>Hargittai</w:t>
      </w:r>
      <w:r>
        <w:rPr>
          <w:rFonts w:eastAsia="Songti SC"/>
          <w:color w:val="000000"/>
          <w:lang w:eastAsia="zh-CN"/>
        </w:rPr>
        <w:t>，</w:t>
      </w:r>
      <w:r>
        <w:rPr>
          <w:rFonts w:eastAsia="Songti SC"/>
          <w:color w:val="000000"/>
          <w:lang w:eastAsia="zh-CN"/>
        </w:rPr>
        <w:t>2001</w:t>
      </w:r>
      <w:r>
        <w:rPr>
          <w:rFonts w:eastAsia="Songti SC"/>
          <w:color w:val="000000"/>
          <w:lang w:eastAsia="zh-CN"/>
        </w:rPr>
        <w:t>；</w:t>
      </w:r>
      <w:r>
        <w:rPr>
          <w:rFonts w:eastAsia="Songti SC"/>
          <w:color w:val="000000"/>
          <w:lang w:eastAsia="zh-CN"/>
        </w:rPr>
        <w:t>Hargittai</w:t>
      </w:r>
      <w:r>
        <w:rPr>
          <w:rFonts w:eastAsia="Songti SC"/>
          <w:color w:val="000000"/>
          <w:lang w:eastAsia="zh-CN"/>
        </w:rPr>
        <w:t>，</w:t>
      </w:r>
      <w:r>
        <w:rPr>
          <w:rFonts w:eastAsia="Songti SC"/>
          <w:color w:val="000000"/>
          <w:lang w:eastAsia="zh-CN"/>
        </w:rPr>
        <w:t>2002</w:t>
      </w:r>
      <w:r>
        <w:rPr>
          <w:rFonts w:eastAsia="Songti SC"/>
          <w:color w:val="000000"/>
          <w:lang w:eastAsia="zh-CN"/>
        </w:rPr>
        <w:t>；</w:t>
      </w:r>
      <w:r>
        <w:rPr>
          <w:rFonts w:eastAsia="Songti SC"/>
          <w:color w:val="000000"/>
          <w:lang w:eastAsia="zh-CN"/>
        </w:rPr>
        <w:t>van Deursen</w:t>
      </w:r>
      <w:r>
        <w:rPr>
          <w:rFonts w:eastAsia="Songti SC"/>
          <w:color w:val="000000"/>
          <w:lang w:eastAsia="zh-CN"/>
        </w:rPr>
        <w:t>和</w:t>
      </w:r>
      <w:r>
        <w:rPr>
          <w:rFonts w:eastAsia="Songti SC"/>
          <w:color w:val="000000"/>
          <w:lang w:eastAsia="zh-CN"/>
        </w:rPr>
        <w:t>van Dijk</w:t>
      </w:r>
      <w:r>
        <w:rPr>
          <w:rFonts w:eastAsia="Songti SC"/>
          <w:color w:val="000000"/>
          <w:lang w:eastAsia="zh-CN"/>
        </w:rPr>
        <w:t>，</w:t>
      </w:r>
      <w:r>
        <w:rPr>
          <w:rFonts w:eastAsia="Songti SC"/>
          <w:color w:val="000000"/>
          <w:lang w:eastAsia="zh-CN"/>
        </w:rPr>
        <w:t>2014</w:t>
      </w:r>
      <w:r>
        <w:rPr>
          <w:rFonts w:eastAsia="Songti SC"/>
          <w:color w:val="000000"/>
          <w:lang w:eastAsia="zh-CN"/>
        </w:rPr>
        <w:t>）。</w:t>
      </w:r>
      <w:r>
        <w:rPr>
          <w:rFonts w:eastAsia="Songti SC"/>
          <w:color w:val="000000"/>
          <w:lang w:eastAsia="zh-CN"/>
        </w:rPr>
        <w:t>Scheerder</w:t>
      </w:r>
      <w:r>
        <w:rPr>
          <w:rFonts w:eastAsia="Songti SC"/>
          <w:color w:val="000000"/>
          <w:lang w:eastAsia="zh-CN"/>
        </w:rPr>
        <w:t>、</w:t>
      </w:r>
      <w:r>
        <w:rPr>
          <w:rFonts w:eastAsia="Songti SC"/>
          <w:color w:val="000000"/>
          <w:lang w:eastAsia="zh-CN"/>
        </w:rPr>
        <w:t>van Deursen</w:t>
      </w:r>
      <w:r>
        <w:rPr>
          <w:rFonts w:eastAsia="Songti SC"/>
          <w:color w:val="000000"/>
          <w:lang w:eastAsia="zh-CN"/>
        </w:rPr>
        <w:t>和</w:t>
      </w:r>
      <w:r>
        <w:rPr>
          <w:rFonts w:eastAsia="Songti SC"/>
          <w:color w:val="000000"/>
          <w:lang w:eastAsia="zh-CN"/>
        </w:rPr>
        <w:t>van Dijk</w:t>
      </w:r>
      <w:r>
        <w:rPr>
          <w:rFonts w:eastAsia="Songti SC"/>
          <w:color w:val="000000"/>
          <w:lang w:eastAsia="zh-CN"/>
        </w:rPr>
        <w:t>（</w:t>
      </w:r>
      <w:r>
        <w:rPr>
          <w:rFonts w:eastAsia="Songti SC"/>
          <w:color w:val="000000"/>
          <w:lang w:eastAsia="zh-CN"/>
        </w:rPr>
        <w:t>2017</w:t>
      </w:r>
      <w:r>
        <w:rPr>
          <w:rFonts w:eastAsia="Songti SC"/>
          <w:color w:val="000000"/>
          <w:lang w:eastAsia="zh-CN"/>
        </w:rPr>
        <w:t>）的系统综述进一步将这一变化概括为第二层次和第三层次数字鸿沟：前者关注技能和使用差异，后者关注不同使用能否转化为社会、文化、经济和政治收益。这一研究进展意味着，共同接入互联网只提供了相似的技术起点，不能据此推断不同群体拥有相同的数字实践及其结果。</w:t>
      </w:r>
    </w:p>
    <w:p w14:paraId="4991595F" w14:textId="77777777" w:rsidR="004D6C43" w:rsidRDefault="00000000">
      <w:pPr>
        <w:spacing w:before="120" w:after="240"/>
        <w:jc w:val="both"/>
        <w:rPr>
          <w:lang w:eastAsia="zh-CN"/>
        </w:rPr>
      </w:pPr>
      <w:r>
        <w:rPr>
          <w:rFonts w:eastAsia="Songti SC"/>
          <w:color w:val="000000"/>
          <w:lang w:eastAsia="zh-CN"/>
        </w:rPr>
        <w:t>性别差异也沿着这一脉络发生变化。早期研究主要讨论女性较低的互联网使用率及其社会经济来源（</w:t>
      </w:r>
      <w:r>
        <w:rPr>
          <w:rFonts w:eastAsia="Songti SC"/>
          <w:color w:val="000000"/>
          <w:lang w:eastAsia="zh-CN"/>
        </w:rPr>
        <w:t>Bimber</w:t>
      </w:r>
      <w:r>
        <w:rPr>
          <w:rFonts w:eastAsia="Songti SC"/>
          <w:color w:val="000000"/>
          <w:lang w:eastAsia="zh-CN"/>
        </w:rPr>
        <w:t>，</w:t>
      </w:r>
      <w:r>
        <w:rPr>
          <w:rFonts w:eastAsia="Songti SC"/>
          <w:color w:val="000000"/>
          <w:lang w:eastAsia="zh-CN"/>
        </w:rPr>
        <w:t>2000</w:t>
      </w:r>
      <w:r>
        <w:rPr>
          <w:rFonts w:eastAsia="Songti SC"/>
          <w:color w:val="000000"/>
          <w:lang w:eastAsia="zh-CN"/>
        </w:rPr>
        <w:t>），后续研究则发现，男女在实际网络技能、自我评价和具体使用上的差异并不完全一致。</w:t>
      </w:r>
      <w:r>
        <w:rPr>
          <w:rFonts w:eastAsia="Songti SC"/>
          <w:color w:val="000000"/>
          <w:lang w:eastAsia="zh-CN"/>
        </w:rPr>
        <w:t>Hargittai</w:t>
      </w:r>
      <w:r>
        <w:rPr>
          <w:rFonts w:eastAsia="Songti SC"/>
          <w:color w:val="000000"/>
          <w:lang w:eastAsia="zh-CN"/>
        </w:rPr>
        <w:t>和</w:t>
      </w:r>
      <w:r>
        <w:rPr>
          <w:rFonts w:eastAsia="Songti SC"/>
          <w:color w:val="000000"/>
          <w:lang w:eastAsia="zh-CN"/>
        </w:rPr>
        <w:t>Shafer</w:t>
      </w:r>
      <w:r>
        <w:rPr>
          <w:rFonts w:eastAsia="Songti SC"/>
          <w:color w:val="000000"/>
          <w:lang w:eastAsia="zh-CN"/>
        </w:rPr>
        <w:t>（</w:t>
      </w:r>
      <w:r>
        <w:rPr>
          <w:rFonts w:eastAsia="Songti SC"/>
          <w:color w:val="000000"/>
          <w:lang w:eastAsia="zh-CN"/>
        </w:rPr>
        <w:t>2006</w:t>
      </w:r>
      <w:r>
        <w:rPr>
          <w:rFonts w:eastAsia="Songti SC"/>
          <w:color w:val="000000"/>
          <w:lang w:eastAsia="zh-CN"/>
        </w:rPr>
        <w:t>）发现，女性对自身网络技能的评价低于男性，但实际操作能力并没有出现同等幅度的差异。</w:t>
      </w:r>
      <w:r>
        <w:rPr>
          <w:rFonts w:eastAsia="Songti SC"/>
          <w:color w:val="000000"/>
          <w:lang w:eastAsia="zh-CN"/>
        </w:rPr>
        <w:t>Helsper</w:t>
      </w:r>
      <w:r>
        <w:rPr>
          <w:rFonts w:eastAsia="Songti SC"/>
          <w:color w:val="000000"/>
          <w:lang w:eastAsia="zh-CN"/>
        </w:rPr>
        <w:t>（</w:t>
      </w:r>
      <w:r>
        <w:rPr>
          <w:rFonts w:eastAsia="Songti SC"/>
          <w:color w:val="000000"/>
          <w:lang w:eastAsia="zh-CN"/>
        </w:rPr>
        <w:t>2010</w:t>
      </w:r>
      <w:r>
        <w:rPr>
          <w:rFonts w:eastAsia="Songti SC"/>
          <w:color w:val="000000"/>
          <w:lang w:eastAsia="zh-CN"/>
        </w:rPr>
        <w:t>）进一步指出，性别差异会随生命阶段、就业和家庭状况发生变化，不同网络用途中的差异也并不一致。因此，网络普及并没有使数字性别不平等自动消失，而是使差异更可能表现为技能评价、使用安排和参与方向的组合。</w:t>
      </w:r>
    </w:p>
    <w:p w14:paraId="681E7C6F" w14:textId="77777777" w:rsidR="004D6C43" w:rsidRDefault="00000000">
      <w:pPr>
        <w:spacing w:before="120" w:after="240"/>
        <w:jc w:val="both"/>
        <w:rPr>
          <w:lang w:eastAsia="zh-CN"/>
        </w:rPr>
      </w:pPr>
      <w:r>
        <w:rPr>
          <w:rFonts w:eastAsia="Songti SC"/>
          <w:color w:val="000000"/>
          <w:lang w:eastAsia="zh-CN"/>
        </w:rPr>
        <w:t>社交媒体使这种接入之后的不平等呈现出新的形式。平台把新闻、公共议题、娱乐内容和人际交往放入同一技术环境，用户可以使用相同的功能，却通过关注、转发和发帖形成不同的信息路径。现有数字不平等研究通常把新闻、娱乐、社交或内容生产分别归入不同的使用类型，但较少在同一批用户中同时比较他们进入哪些信息领域，以及在各领域中采取何种参与方式。数字技能回答用户能否有效使用平台，使用频率回答用户投入多少时间，信息领域参与则进一步回答这些使用被配置到哪些来源和议题。本文据此把信息领域和参与方式同时纳入性别差异的分析。</w:t>
      </w:r>
    </w:p>
    <w:p w14:paraId="74988FE1" w14:textId="77777777" w:rsidR="004D6C43" w:rsidRDefault="00000000">
      <w:pPr>
        <w:pStyle w:val="21"/>
        <w:spacing w:before="120" w:after="240"/>
        <w:rPr>
          <w:lang w:eastAsia="zh-CN"/>
        </w:rPr>
      </w:pPr>
      <w:r>
        <w:rPr>
          <w:rFonts w:ascii="Times New Roman" w:eastAsia="Heiti SC" w:hAnsi="Times New Roman"/>
          <w:lang w:eastAsia="zh-CN"/>
        </w:rPr>
        <w:lastRenderedPageBreak/>
        <w:t>（二）公共事务参与的性别差异</w:t>
      </w:r>
    </w:p>
    <w:p w14:paraId="1BD4979D" w14:textId="77777777" w:rsidR="004D6C43" w:rsidRDefault="00000000">
      <w:pPr>
        <w:spacing w:before="120" w:after="240"/>
        <w:jc w:val="both"/>
        <w:rPr>
          <w:lang w:eastAsia="zh-CN"/>
        </w:rPr>
      </w:pPr>
      <w:r>
        <w:rPr>
          <w:rFonts w:eastAsia="Songti SC"/>
          <w:color w:val="000000"/>
          <w:lang w:eastAsia="zh-CN"/>
        </w:rPr>
        <w:t>政治兴趣既是公共信息接触的动机，也是政治参与的重要前置条件。既有研究发现，女性在一般政治兴趣、政治知识和政治效能感上的平均水平通常低于男性，这一差异无法完全由教育、收入和可支配时间解释，并可能在较早的社会化阶段形成（</w:t>
      </w:r>
      <w:r>
        <w:rPr>
          <w:rFonts w:eastAsia="Songti SC"/>
          <w:color w:val="000000"/>
          <w:lang w:eastAsia="zh-CN"/>
        </w:rPr>
        <w:t>Bennett</w:t>
      </w:r>
      <w:r>
        <w:rPr>
          <w:rFonts w:eastAsia="Songti SC"/>
          <w:color w:val="000000"/>
          <w:lang w:eastAsia="zh-CN"/>
        </w:rPr>
        <w:t>和</w:t>
      </w:r>
      <w:r>
        <w:rPr>
          <w:rFonts w:eastAsia="Songti SC"/>
          <w:color w:val="000000"/>
          <w:lang w:eastAsia="zh-CN"/>
        </w:rPr>
        <w:t>Bennett</w:t>
      </w:r>
      <w:r>
        <w:rPr>
          <w:rFonts w:eastAsia="Songti SC"/>
          <w:color w:val="000000"/>
          <w:lang w:eastAsia="zh-CN"/>
        </w:rPr>
        <w:t>，</w:t>
      </w:r>
      <w:r>
        <w:rPr>
          <w:rFonts w:eastAsia="Songti SC"/>
          <w:color w:val="000000"/>
          <w:lang w:eastAsia="zh-CN"/>
        </w:rPr>
        <w:t>1989</w:t>
      </w:r>
      <w:r>
        <w:rPr>
          <w:rFonts w:eastAsia="Songti SC"/>
          <w:color w:val="000000"/>
          <w:lang w:eastAsia="zh-CN"/>
        </w:rPr>
        <w:t>；</w:t>
      </w:r>
      <w:r>
        <w:rPr>
          <w:rFonts w:eastAsia="Songti SC"/>
          <w:color w:val="000000"/>
          <w:lang w:eastAsia="zh-CN"/>
        </w:rPr>
        <w:t>Verba</w:t>
      </w:r>
      <w:r>
        <w:rPr>
          <w:rFonts w:eastAsia="Songti SC"/>
          <w:color w:val="000000"/>
          <w:lang w:eastAsia="zh-CN"/>
        </w:rPr>
        <w:t>、</w:t>
      </w:r>
      <w:r>
        <w:rPr>
          <w:rFonts w:eastAsia="Songti SC"/>
          <w:color w:val="000000"/>
          <w:lang w:eastAsia="zh-CN"/>
        </w:rPr>
        <w:t>Burns</w:t>
      </w:r>
      <w:r>
        <w:rPr>
          <w:rFonts w:eastAsia="Songti SC"/>
          <w:color w:val="000000"/>
          <w:lang w:eastAsia="zh-CN"/>
        </w:rPr>
        <w:t>和</w:t>
      </w:r>
      <w:r>
        <w:rPr>
          <w:rFonts w:eastAsia="Songti SC"/>
          <w:color w:val="000000"/>
          <w:lang w:eastAsia="zh-CN"/>
        </w:rPr>
        <w:t>Schlozman</w:t>
      </w:r>
      <w:r>
        <w:rPr>
          <w:rFonts w:eastAsia="Songti SC"/>
          <w:color w:val="000000"/>
          <w:lang w:eastAsia="zh-CN"/>
        </w:rPr>
        <w:t>，</w:t>
      </w:r>
      <w:r>
        <w:rPr>
          <w:rFonts w:eastAsia="Songti SC"/>
          <w:color w:val="000000"/>
          <w:lang w:eastAsia="zh-CN"/>
        </w:rPr>
        <w:t>1997</w:t>
      </w:r>
      <w:r>
        <w:rPr>
          <w:rFonts w:eastAsia="Songti SC"/>
          <w:color w:val="000000"/>
          <w:lang w:eastAsia="zh-CN"/>
        </w:rPr>
        <w:t>；</w:t>
      </w:r>
      <w:r>
        <w:rPr>
          <w:rFonts w:eastAsia="Songti SC"/>
          <w:color w:val="000000"/>
          <w:lang w:eastAsia="zh-CN"/>
        </w:rPr>
        <w:t>Fraile</w:t>
      </w:r>
      <w:r>
        <w:rPr>
          <w:rFonts w:eastAsia="Songti SC"/>
          <w:color w:val="000000"/>
          <w:lang w:eastAsia="zh-CN"/>
        </w:rPr>
        <w:t>和</w:t>
      </w:r>
      <w:r>
        <w:rPr>
          <w:rFonts w:eastAsia="Songti SC"/>
          <w:color w:val="000000"/>
          <w:lang w:eastAsia="zh-CN"/>
        </w:rPr>
        <w:t>Sánchez-Vítores</w:t>
      </w:r>
      <w:r>
        <w:rPr>
          <w:rFonts w:eastAsia="Songti SC"/>
          <w:color w:val="000000"/>
          <w:lang w:eastAsia="zh-CN"/>
        </w:rPr>
        <w:t>，</w:t>
      </w:r>
      <w:r>
        <w:rPr>
          <w:rFonts w:eastAsia="Songti SC"/>
          <w:color w:val="000000"/>
          <w:lang w:eastAsia="zh-CN"/>
        </w:rPr>
        <w:t>2020</w:t>
      </w:r>
      <w:r>
        <w:rPr>
          <w:rFonts w:eastAsia="Songti SC"/>
          <w:color w:val="000000"/>
          <w:lang w:eastAsia="zh-CN"/>
        </w:rPr>
        <w:t>）。不过，政治兴趣并非单一对象。</w:t>
      </w:r>
      <w:r>
        <w:rPr>
          <w:rFonts w:eastAsia="Songti SC"/>
          <w:color w:val="000000"/>
          <w:lang w:eastAsia="zh-CN"/>
        </w:rPr>
        <w:t>Coffé</w:t>
      </w:r>
      <w:r>
        <w:rPr>
          <w:rFonts w:eastAsia="Songti SC"/>
          <w:color w:val="000000"/>
          <w:lang w:eastAsia="zh-CN"/>
        </w:rPr>
        <w:t>（</w:t>
      </w:r>
      <w:r>
        <w:rPr>
          <w:rFonts w:eastAsia="Songti SC"/>
          <w:color w:val="000000"/>
          <w:lang w:eastAsia="zh-CN"/>
        </w:rPr>
        <w:t>2013</w:t>
      </w:r>
      <w:r>
        <w:rPr>
          <w:rFonts w:eastAsia="Songti SC"/>
          <w:color w:val="000000"/>
          <w:lang w:eastAsia="zh-CN"/>
        </w:rPr>
        <w:t>）区分地方、国家和国际议题后发现，男女在地方议题上的差异很小；</w:t>
      </w:r>
      <w:r>
        <w:rPr>
          <w:rFonts w:eastAsia="Songti SC"/>
          <w:color w:val="000000"/>
          <w:lang w:eastAsia="zh-CN"/>
        </w:rPr>
        <w:t>Ferrín</w:t>
      </w:r>
      <w:r>
        <w:rPr>
          <w:rFonts w:eastAsia="Songti SC"/>
          <w:color w:val="000000"/>
          <w:lang w:eastAsia="zh-CN"/>
        </w:rPr>
        <w:t>等（</w:t>
      </w:r>
      <w:r>
        <w:rPr>
          <w:rFonts w:eastAsia="Songti SC"/>
          <w:color w:val="000000"/>
          <w:lang w:eastAsia="zh-CN"/>
        </w:rPr>
        <w:t>2020</w:t>
      </w:r>
      <w:r>
        <w:rPr>
          <w:rFonts w:eastAsia="Songti SC"/>
          <w:color w:val="000000"/>
          <w:lang w:eastAsia="zh-CN"/>
        </w:rPr>
        <w:t>）让受访者报告具体关心的问题后，一般政治兴趣中的性别差距也明显缩小。研究将哪些内容划入政治，会直接影响观察到的性别差异。因此，公共事务领域需要覆盖与社会生活相关的议题，而不能只用狭义的政党政治代表公共参与。</w:t>
      </w:r>
    </w:p>
    <w:p w14:paraId="45C912AA" w14:textId="77777777" w:rsidR="004D6C43" w:rsidRDefault="00000000">
      <w:pPr>
        <w:spacing w:before="120" w:after="240"/>
        <w:jc w:val="both"/>
        <w:rPr>
          <w:lang w:eastAsia="zh-CN"/>
        </w:rPr>
      </w:pPr>
      <w:r>
        <w:rPr>
          <w:rFonts w:eastAsia="Songti SC"/>
          <w:color w:val="000000"/>
          <w:lang w:eastAsia="zh-CN"/>
        </w:rPr>
        <w:t>新闻消费研究进一步说明，公共信息接触中的性别差异与日常时间安排和社会角色有关。</w:t>
      </w:r>
      <w:r>
        <w:rPr>
          <w:rFonts w:eastAsia="Songti SC"/>
          <w:color w:val="000000"/>
          <w:lang w:eastAsia="zh-CN"/>
        </w:rPr>
        <w:t>Benesch</w:t>
      </w:r>
      <w:r>
        <w:rPr>
          <w:rFonts w:eastAsia="Songti SC"/>
          <w:color w:val="000000"/>
          <w:lang w:eastAsia="zh-CN"/>
        </w:rPr>
        <w:t>（</w:t>
      </w:r>
      <w:r>
        <w:rPr>
          <w:rFonts w:eastAsia="Songti SC"/>
          <w:color w:val="000000"/>
          <w:lang w:eastAsia="zh-CN"/>
        </w:rPr>
        <w:t>2012</w:t>
      </w:r>
      <w:r>
        <w:rPr>
          <w:rFonts w:eastAsia="Songti SC"/>
          <w:color w:val="000000"/>
          <w:lang w:eastAsia="zh-CN"/>
        </w:rPr>
        <w:t>）发现，美国的新闻消费性别差异不能完全由教育、收入或内容偏好解释，女性同时承担有偿劳动和家庭劳动所形成的时间约束可能是重要机制。</w:t>
      </w:r>
      <w:r>
        <w:rPr>
          <w:rFonts w:eastAsia="Songti SC"/>
          <w:color w:val="000000"/>
          <w:lang w:eastAsia="zh-CN"/>
        </w:rPr>
        <w:t>Toff</w:t>
      </w:r>
      <w:r>
        <w:rPr>
          <w:rFonts w:eastAsia="Songti SC"/>
          <w:color w:val="000000"/>
          <w:lang w:eastAsia="zh-CN"/>
        </w:rPr>
        <w:t>和</w:t>
      </w:r>
      <w:r>
        <w:rPr>
          <w:rFonts w:eastAsia="Songti SC"/>
          <w:color w:val="000000"/>
          <w:lang w:eastAsia="zh-CN"/>
        </w:rPr>
        <w:t>Palmer</w:t>
      </w:r>
      <w:r>
        <w:rPr>
          <w:rFonts w:eastAsia="Songti SC"/>
          <w:color w:val="000000"/>
          <w:lang w:eastAsia="zh-CN"/>
        </w:rPr>
        <w:t>（</w:t>
      </w:r>
      <w:r>
        <w:rPr>
          <w:rFonts w:eastAsia="Songti SC"/>
          <w:color w:val="000000"/>
          <w:lang w:eastAsia="zh-CN"/>
        </w:rPr>
        <w:t>2019</w:t>
      </w:r>
      <w:r>
        <w:rPr>
          <w:rFonts w:eastAsia="Songti SC"/>
          <w:color w:val="000000"/>
          <w:lang w:eastAsia="zh-CN"/>
        </w:rPr>
        <w:t>）对英国新闻回避者的访谈也表明，新闻被理解为男性事务的文化观念，以及女性较多承担照护责任，共同影响了新闻接触。不过，社交媒体并不必然延续传统新闻渠道中的差距。</w:t>
      </w:r>
      <w:r>
        <w:rPr>
          <w:rFonts w:eastAsia="Songti SC"/>
          <w:color w:val="000000"/>
          <w:lang w:eastAsia="zh-CN"/>
        </w:rPr>
        <w:t>Haugsgjerd</w:t>
      </w:r>
      <w:r>
        <w:rPr>
          <w:rFonts w:eastAsia="Songti SC"/>
          <w:color w:val="000000"/>
          <w:lang w:eastAsia="zh-CN"/>
        </w:rPr>
        <w:t>和</w:t>
      </w:r>
      <w:r>
        <w:rPr>
          <w:rFonts w:eastAsia="Songti SC"/>
          <w:color w:val="000000"/>
          <w:lang w:eastAsia="zh-CN"/>
        </w:rPr>
        <w:t>Karlsen</w:t>
      </w:r>
      <w:r>
        <w:rPr>
          <w:rFonts w:eastAsia="Songti SC"/>
          <w:color w:val="000000"/>
          <w:lang w:eastAsia="zh-CN"/>
        </w:rPr>
        <w:t>（</w:t>
      </w:r>
      <w:r>
        <w:rPr>
          <w:rFonts w:eastAsia="Songti SC"/>
          <w:color w:val="000000"/>
          <w:lang w:eastAsia="zh-CN"/>
        </w:rPr>
        <w:t>2024</w:t>
      </w:r>
      <w:r>
        <w:rPr>
          <w:rFonts w:eastAsia="Songti SC"/>
          <w:color w:val="000000"/>
          <w:lang w:eastAsia="zh-CN"/>
        </w:rPr>
        <w:t>）对挪威选举期的追踪研究发现，社交媒体能够向较少使用传统新闻的群体提供政治信息，并在特定时期缩小部分新闻使用差距。这些研究提示，观察公共事务参与既要考虑社会角色造成的限制，也要考虑平台降低信息进入门槛的可能性。</w:t>
      </w:r>
    </w:p>
    <w:p w14:paraId="4DDDD92D" w14:textId="77777777" w:rsidR="004D6C43" w:rsidRDefault="00000000">
      <w:pPr>
        <w:spacing w:before="120" w:after="240"/>
        <w:jc w:val="both"/>
        <w:rPr>
          <w:lang w:eastAsia="zh-CN"/>
        </w:rPr>
      </w:pPr>
      <w:r>
        <w:rPr>
          <w:rFonts w:eastAsia="Songti SC"/>
          <w:color w:val="000000"/>
          <w:lang w:eastAsia="zh-CN"/>
        </w:rPr>
        <w:t>信息接触增加也不等于公开表达趋于一致。社交媒体把新闻消费、转发和公开讨论连接起来，使低成本的信息传播能够进入政治参与的观察范围。</w:t>
      </w:r>
      <w:r>
        <w:rPr>
          <w:rFonts w:eastAsia="Songti SC"/>
          <w:color w:val="000000"/>
          <w:lang w:eastAsia="zh-CN"/>
        </w:rPr>
        <w:t>Bode</w:t>
      </w:r>
      <w:r>
        <w:rPr>
          <w:rFonts w:eastAsia="Songti SC"/>
          <w:color w:val="000000"/>
          <w:lang w:eastAsia="zh-CN"/>
        </w:rPr>
        <w:t>（</w:t>
      </w:r>
      <w:r>
        <w:rPr>
          <w:rFonts w:eastAsia="Songti SC"/>
          <w:color w:val="000000"/>
          <w:lang w:eastAsia="zh-CN"/>
        </w:rPr>
        <w:t>2017</w:t>
      </w:r>
      <w:r>
        <w:rPr>
          <w:rFonts w:eastAsia="Songti SC"/>
          <w:color w:val="000000"/>
          <w:lang w:eastAsia="zh-CN"/>
        </w:rPr>
        <w:t>）发现，若干社交媒体政治参与形式呈现出比线下参与更小的性别差距。</w:t>
      </w:r>
      <w:r>
        <w:rPr>
          <w:rFonts w:eastAsia="Songti SC"/>
          <w:color w:val="000000"/>
          <w:lang w:eastAsia="zh-CN"/>
        </w:rPr>
        <w:t>Lilleker</w:t>
      </w:r>
      <w:r>
        <w:rPr>
          <w:rFonts w:eastAsia="Songti SC"/>
          <w:color w:val="000000"/>
          <w:lang w:eastAsia="zh-CN"/>
        </w:rPr>
        <w:t>、</w:t>
      </w:r>
      <w:r>
        <w:rPr>
          <w:rFonts w:eastAsia="Songti SC"/>
          <w:color w:val="000000"/>
          <w:lang w:eastAsia="zh-CN"/>
        </w:rPr>
        <w:t>Koc-Michalska</w:t>
      </w:r>
      <w:r>
        <w:rPr>
          <w:rFonts w:eastAsia="Songti SC"/>
          <w:color w:val="000000"/>
          <w:lang w:eastAsia="zh-CN"/>
        </w:rPr>
        <w:t>和</w:t>
      </w:r>
      <w:r>
        <w:rPr>
          <w:rFonts w:eastAsia="Songti SC"/>
          <w:color w:val="000000"/>
          <w:lang w:eastAsia="zh-CN"/>
        </w:rPr>
        <w:t>Bimber</w:t>
      </w:r>
      <w:r>
        <w:rPr>
          <w:rFonts w:eastAsia="Songti SC"/>
          <w:color w:val="000000"/>
          <w:lang w:eastAsia="zh-CN"/>
        </w:rPr>
        <w:t>（</w:t>
      </w:r>
      <w:r>
        <w:rPr>
          <w:rFonts w:eastAsia="Songti SC"/>
          <w:color w:val="000000"/>
          <w:lang w:eastAsia="zh-CN"/>
        </w:rPr>
        <w:t>2021</w:t>
      </w:r>
      <w:r>
        <w:rPr>
          <w:rFonts w:eastAsia="Songti SC"/>
          <w:color w:val="000000"/>
          <w:lang w:eastAsia="zh-CN"/>
        </w:rPr>
        <w:t>）也发现，女性并非普遍较少分享或评论政治信息，但在开放的公共政治讨论中，她们的声音仍可能更弱。</w:t>
      </w:r>
      <w:r>
        <w:rPr>
          <w:rFonts w:eastAsia="Songti SC"/>
          <w:color w:val="000000"/>
          <w:lang w:eastAsia="zh-CN"/>
        </w:rPr>
        <w:t>Koc-Michalska</w:t>
      </w:r>
      <w:r>
        <w:rPr>
          <w:rFonts w:eastAsia="Songti SC"/>
          <w:color w:val="000000"/>
          <w:lang w:eastAsia="zh-CN"/>
        </w:rPr>
        <w:t>等（</w:t>
      </w:r>
      <w:r>
        <w:rPr>
          <w:rFonts w:eastAsia="Songti SC"/>
          <w:color w:val="000000"/>
          <w:lang w:eastAsia="zh-CN"/>
        </w:rPr>
        <w:t>2021</w:t>
      </w:r>
      <w:r>
        <w:rPr>
          <w:rFonts w:eastAsia="Songti SC"/>
          <w:color w:val="000000"/>
          <w:lang w:eastAsia="zh-CN"/>
        </w:rPr>
        <w:t>）进一步指出，公开政治发帖会受到性别化互动环境的影响。因此，公共事务领域中的性别差异既取决于议题边界，也取决于研究观察的是信息消费还是内容表达。将两种参与方式分开，才能判断共同的信息入口是否转化为相似的公开发声。</w:t>
      </w:r>
    </w:p>
    <w:p w14:paraId="52E16FE2" w14:textId="77777777" w:rsidR="004D6C43" w:rsidRDefault="00000000">
      <w:pPr>
        <w:pStyle w:val="21"/>
        <w:spacing w:before="120" w:after="240"/>
        <w:rPr>
          <w:lang w:eastAsia="zh-CN"/>
        </w:rPr>
      </w:pPr>
      <w:r>
        <w:rPr>
          <w:rFonts w:ascii="Times New Roman" w:eastAsia="Heiti SC" w:hAnsi="Times New Roman"/>
          <w:lang w:eastAsia="zh-CN"/>
        </w:rPr>
        <w:t>（三）信息消费、内容表达与明星文化</w:t>
      </w:r>
    </w:p>
    <w:p w14:paraId="2D8E1774" w14:textId="77777777" w:rsidR="004D6C43" w:rsidRDefault="00000000">
      <w:pPr>
        <w:spacing w:before="120" w:after="240"/>
        <w:jc w:val="both"/>
        <w:rPr>
          <w:lang w:eastAsia="zh-CN"/>
        </w:rPr>
      </w:pPr>
      <w:r>
        <w:rPr>
          <w:rFonts w:eastAsia="Songti SC"/>
          <w:color w:val="000000"/>
          <w:lang w:eastAsia="zh-CN"/>
        </w:rPr>
        <w:t>信息消费和内容表达对应平台参与的不同环节。</w:t>
      </w:r>
      <w:r>
        <w:rPr>
          <w:rFonts w:eastAsia="Songti SC"/>
          <w:color w:val="000000"/>
          <w:lang w:eastAsia="zh-CN"/>
        </w:rPr>
        <w:t>Shah</w:t>
      </w:r>
      <w:r>
        <w:rPr>
          <w:rFonts w:eastAsia="Songti SC"/>
          <w:color w:val="000000"/>
          <w:lang w:eastAsia="zh-CN"/>
        </w:rPr>
        <w:t>等（</w:t>
      </w:r>
      <w:r>
        <w:rPr>
          <w:rFonts w:eastAsia="Songti SC"/>
          <w:color w:val="000000"/>
          <w:lang w:eastAsia="zh-CN"/>
        </w:rPr>
        <w:t>2005</w:t>
      </w:r>
      <w:r>
        <w:rPr>
          <w:rFonts w:eastAsia="Songti SC"/>
          <w:color w:val="000000"/>
          <w:lang w:eastAsia="zh-CN"/>
        </w:rPr>
        <w:t>）在分析互联网与公民参与时，已经把获取公共信息和在线表达视为相互联系但作用不同的过程。公共连接研究同样强调，媒介接触、注意、公共取向和实际行动需要加以区分（</w:t>
      </w:r>
      <w:r>
        <w:rPr>
          <w:rFonts w:eastAsia="Songti SC"/>
          <w:color w:val="000000"/>
          <w:lang w:eastAsia="zh-CN"/>
        </w:rPr>
        <w:t>Couldry</w:t>
      </w:r>
      <w:r>
        <w:rPr>
          <w:rFonts w:eastAsia="Songti SC"/>
          <w:color w:val="000000"/>
          <w:lang w:eastAsia="zh-CN"/>
        </w:rPr>
        <w:t>、</w:t>
      </w:r>
      <w:r>
        <w:rPr>
          <w:rFonts w:eastAsia="Songti SC"/>
          <w:color w:val="000000"/>
          <w:lang w:eastAsia="zh-CN"/>
        </w:rPr>
        <w:t>Livingstone</w:t>
      </w:r>
      <w:r>
        <w:rPr>
          <w:rFonts w:eastAsia="Songti SC"/>
          <w:color w:val="000000"/>
          <w:lang w:eastAsia="zh-CN"/>
        </w:rPr>
        <w:t>和</w:t>
      </w:r>
      <w:r>
        <w:rPr>
          <w:rFonts w:eastAsia="Songti SC"/>
          <w:color w:val="000000"/>
          <w:lang w:eastAsia="zh-CN"/>
        </w:rPr>
        <w:t>Markham</w:t>
      </w:r>
      <w:r>
        <w:rPr>
          <w:rFonts w:eastAsia="Songti SC"/>
          <w:color w:val="000000"/>
          <w:lang w:eastAsia="zh-CN"/>
        </w:rPr>
        <w:t>，</w:t>
      </w:r>
      <w:r>
        <w:rPr>
          <w:rFonts w:eastAsia="Songti SC"/>
          <w:color w:val="000000"/>
          <w:lang w:eastAsia="zh-CN"/>
        </w:rPr>
        <w:t>2007</w:t>
      </w:r>
      <w:r>
        <w:rPr>
          <w:rFonts w:eastAsia="Songti SC"/>
          <w:color w:val="000000"/>
          <w:lang w:eastAsia="zh-CN"/>
        </w:rPr>
        <w:t>）。在社交媒体上，转发说明账号至少接触并继续传播了某类来源，公开发帖则把某类议题写入账号的可见内容。两种行为面对的受众、表达成本和社会评价不同，因而可能呈现不同的性别差异。本文据此把来源转发作为信息消费留下的可见痕迹，把公开文字中的议题比例作为内容表达，并分别比较两种参与方式。</w:t>
      </w:r>
    </w:p>
    <w:p w14:paraId="3F269BA0" w14:textId="77777777" w:rsidR="004D6C43" w:rsidRDefault="00000000">
      <w:pPr>
        <w:spacing w:before="120" w:after="240"/>
        <w:jc w:val="both"/>
        <w:rPr>
          <w:lang w:eastAsia="zh-CN"/>
        </w:rPr>
      </w:pPr>
      <w:r>
        <w:rPr>
          <w:rFonts w:eastAsia="Songti SC"/>
          <w:color w:val="000000"/>
          <w:lang w:eastAsia="zh-CN"/>
        </w:rPr>
        <w:lastRenderedPageBreak/>
        <w:t>明星文化为这种比较提供了公共事务之外的重要信息领域。中国网络粉丝通过点赞、转发、评论、榜单劳动和内容生产维持社群，并参与文化产品的传播。平台指标和算法可见度使这些活动成为持续、可组织的数据劳动（</w:t>
      </w:r>
      <w:r>
        <w:rPr>
          <w:rFonts w:eastAsia="Songti SC"/>
          <w:color w:val="000000"/>
          <w:lang w:eastAsia="zh-CN"/>
        </w:rPr>
        <w:t>Yin</w:t>
      </w:r>
      <w:r>
        <w:rPr>
          <w:rFonts w:eastAsia="Songti SC"/>
          <w:color w:val="000000"/>
          <w:lang w:eastAsia="zh-CN"/>
        </w:rPr>
        <w:t>，</w:t>
      </w:r>
      <w:r>
        <w:rPr>
          <w:rFonts w:eastAsia="Songti SC"/>
          <w:color w:val="000000"/>
          <w:lang w:eastAsia="zh-CN"/>
        </w:rPr>
        <w:t>2020</w:t>
      </w:r>
      <w:r>
        <w:rPr>
          <w:rFonts w:eastAsia="Songti SC"/>
          <w:color w:val="000000"/>
          <w:lang w:eastAsia="zh-CN"/>
        </w:rPr>
        <w:t>；</w:t>
      </w:r>
      <w:r>
        <w:rPr>
          <w:rFonts w:eastAsia="Songti SC"/>
          <w:color w:val="000000"/>
          <w:lang w:eastAsia="zh-CN"/>
        </w:rPr>
        <w:t>Zhang</w:t>
      </w:r>
      <w:r>
        <w:rPr>
          <w:rFonts w:eastAsia="Songti SC"/>
          <w:color w:val="000000"/>
          <w:lang w:eastAsia="zh-CN"/>
        </w:rPr>
        <w:t>和</w:t>
      </w:r>
      <w:r>
        <w:rPr>
          <w:rFonts w:eastAsia="Songti SC"/>
          <w:color w:val="000000"/>
          <w:lang w:eastAsia="zh-CN"/>
        </w:rPr>
        <w:t>Negus</w:t>
      </w:r>
      <w:r>
        <w:rPr>
          <w:rFonts w:eastAsia="Songti SC"/>
          <w:color w:val="000000"/>
          <w:lang w:eastAsia="zh-CN"/>
        </w:rPr>
        <w:t>，</w:t>
      </w:r>
      <w:r>
        <w:rPr>
          <w:rFonts w:eastAsia="Songti SC"/>
          <w:color w:val="000000"/>
          <w:lang w:eastAsia="zh-CN"/>
        </w:rPr>
        <w:t>2020</w:t>
      </w:r>
      <w:r>
        <w:rPr>
          <w:rFonts w:eastAsia="Songti SC"/>
          <w:color w:val="000000"/>
          <w:lang w:eastAsia="zh-CN"/>
        </w:rPr>
        <w:t>）。</w:t>
      </w:r>
      <w:r>
        <w:rPr>
          <w:rFonts w:eastAsia="Songti SC"/>
          <w:color w:val="000000"/>
          <w:lang w:eastAsia="zh-CN"/>
        </w:rPr>
        <w:t>Yin</w:t>
      </w:r>
      <w:r>
        <w:rPr>
          <w:rFonts w:eastAsia="Songti SC"/>
          <w:color w:val="000000"/>
          <w:lang w:eastAsia="zh-CN"/>
        </w:rPr>
        <w:t>（</w:t>
      </w:r>
      <w:r>
        <w:rPr>
          <w:rFonts w:eastAsia="Songti SC"/>
          <w:color w:val="000000"/>
          <w:lang w:eastAsia="zh-CN"/>
        </w:rPr>
        <w:t>2021</w:t>
      </w:r>
      <w:r>
        <w:rPr>
          <w:rFonts w:eastAsia="Songti SC"/>
          <w:color w:val="000000"/>
          <w:lang w:eastAsia="zh-CN"/>
        </w:rPr>
        <w:t>）进一步指出，粉丝的情感投入会通过数据化的应援活动转化为可计量的劳动。</w:t>
      </w:r>
      <w:r>
        <w:rPr>
          <w:rFonts w:eastAsia="Songti SC"/>
          <w:color w:val="000000"/>
          <w:lang w:eastAsia="zh-CN"/>
        </w:rPr>
        <w:t>Zhai</w:t>
      </w:r>
      <w:r>
        <w:rPr>
          <w:rFonts w:eastAsia="Songti SC"/>
          <w:color w:val="000000"/>
          <w:lang w:eastAsia="zh-CN"/>
        </w:rPr>
        <w:t>和</w:t>
      </w:r>
      <w:r>
        <w:rPr>
          <w:rFonts w:eastAsia="Songti SC"/>
          <w:color w:val="000000"/>
          <w:lang w:eastAsia="zh-CN"/>
        </w:rPr>
        <w:t>Wang</w:t>
      </w:r>
      <w:r>
        <w:rPr>
          <w:rFonts w:eastAsia="Songti SC"/>
          <w:color w:val="000000"/>
          <w:lang w:eastAsia="zh-CN"/>
        </w:rPr>
        <w:t>（</w:t>
      </w:r>
      <w:r>
        <w:rPr>
          <w:rFonts w:eastAsia="Songti SC"/>
          <w:color w:val="000000"/>
          <w:lang w:eastAsia="zh-CN"/>
        </w:rPr>
        <w:t>2023</w:t>
      </w:r>
      <w:r>
        <w:rPr>
          <w:rFonts w:eastAsia="Songti SC"/>
          <w:color w:val="000000"/>
          <w:lang w:eastAsia="zh-CN"/>
        </w:rPr>
        <w:t>）对微博粉丝社群的研究则显示，粉丝组织存在分层结构，核心成员运用平台知识和组织能力安排普通成员的数据劳动。</w:t>
      </w:r>
      <w:r>
        <w:rPr>
          <w:rFonts w:eastAsia="Songti SC"/>
          <w:color w:val="000000"/>
          <w:lang w:eastAsia="zh-CN"/>
        </w:rPr>
        <w:t>He</w:t>
      </w:r>
      <w:r>
        <w:rPr>
          <w:rFonts w:eastAsia="Songti SC"/>
          <w:color w:val="000000"/>
          <w:lang w:eastAsia="zh-CN"/>
        </w:rPr>
        <w:t>和</w:t>
      </w:r>
      <w:r>
        <w:rPr>
          <w:rFonts w:eastAsia="Songti SC"/>
          <w:color w:val="000000"/>
          <w:lang w:eastAsia="zh-CN"/>
        </w:rPr>
        <w:t>Li</w:t>
      </w:r>
      <w:r>
        <w:rPr>
          <w:rFonts w:eastAsia="Songti SC"/>
          <w:color w:val="000000"/>
          <w:lang w:eastAsia="zh-CN"/>
        </w:rPr>
        <w:t>（</w:t>
      </w:r>
      <w:r>
        <w:rPr>
          <w:rFonts w:eastAsia="Songti SC"/>
          <w:color w:val="000000"/>
          <w:lang w:eastAsia="zh-CN"/>
        </w:rPr>
        <w:t>2023</w:t>
      </w:r>
      <w:r>
        <w:rPr>
          <w:rFonts w:eastAsia="Songti SC"/>
          <w:color w:val="000000"/>
          <w:lang w:eastAsia="zh-CN"/>
        </w:rPr>
        <w:t>）还发现，这类社群实践可能与公民参与意愿发生联系。明星相关行为因此不能仅被当作公共事务参与之外的剩余类别，而应被理解为具有自身组织逻辑和参与价值的信息领域。</w:t>
      </w:r>
    </w:p>
    <w:p w14:paraId="472D24D6" w14:textId="77777777" w:rsidR="004D6C43" w:rsidRDefault="00000000">
      <w:pPr>
        <w:spacing w:before="120" w:after="240"/>
        <w:jc w:val="both"/>
        <w:rPr>
          <w:lang w:eastAsia="zh-CN"/>
        </w:rPr>
      </w:pPr>
      <w:r>
        <w:rPr>
          <w:rFonts w:eastAsia="Songti SC"/>
          <w:color w:val="000000"/>
          <w:lang w:eastAsia="zh-CN"/>
        </w:rPr>
        <w:t>现有粉丝研究解释了明星文化参与如何被组织，却较少回答这种参与在平台账号中是否存在稳定的性别差异，也很少把它与公共事务参与放在同一数据框架中比较。与此相对，政治传播研究通常集中于新闻和公共讨论，娱乐或明星内容往往只作为新闻的竞争对象出现。两组文献之间的分离，使我们尚不清楚不同性别是否分别偏向不同信息领域，也不清楚这种领域差异主要发生在信息消费还是内容表达。本文所称明星文化特指以明星姓名和演艺认证来源为边界的可见参与；公共事务与明星文化并非互斥类别，同一账号和同一帖子都可能同时进入两个领域。对两个领域和两种参与方式进行交叉比较，可以把数字性别差异从总体使用量推进到具体的信息参与结构。</w:t>
      </w:r>
    </w:p>
    <w:p w14:paraId="29EB0C2C" w14:textId="77777777" w:rsidR="004D6C43" w:rsidRDefault="004D6C43">
      <w:pPr>
        <w:spacing w:before="120" w:after="240"/>
        <w:rPr>
          <w:lang w:eastAsia="zh-CN"/>
        </w:rPr>
      </w:pPr>
    </w:p>
    <w:p w14:paraId="393EB313" w14:textId="77777777" w:rsidR="004D6C43" w:rsidRDefault="00000000">
      <w:pPr>
        <w:spacing w:before="120" w:after="240"/>
        <w:jc w:val="both"/>
        <w:rPr>
          <w:lang w:eastAsia="zh-CN"/>
        </w:rPr>
      </w:pPr>
      <w:r>
        <w:rPr>
          <w:rFonts w:eastAsia="Songti SC"/>
          <w:color w:val="000000"/>
          <w:lang w:eastAsia="zh-CN"/>
        </w:rPr>
        <w:t>基于上述研究，本文预期男性账号相对更多参与公共事务领域，女性账号相对更多参与明星文化领域。这一预期将在信息消费和内容表达中分别检验，并通过比较平台使用程度相近的账号，考察领域差异是否超出总体发帖、转发和活跃程度的影响。</w:t>
      </w:r>
    </w:p>
    <w:p w14:paraId="3568B77F" w14:textId="77777777" w:rsidR="004D6C43" w:rsidRDefault="00000000">
      <w:pPr>
        <w:pStyle w:val="1"/>
        <w:spacing w:before="120" w:after="240"/>
        <w:rPr>
          <w:lang w:eastAsia="zh-CN"/>
        </w:rPr>
      </w:pPr>
      <w:r>
        <w:rPr>
          <w:rFonts w:ascii="Times New Roman" w:eastAsia="Heiti SC" w:hAnsi="Times New Roman"/>
          <w:lang w:eastAsia="zh-CN"/>
        </w:rPr>
        <w:t>三、数据、变量与方法</w:t>
      </w:r>
    </w:p>
    <w:p w14:paraId="0D544394" w14:textId="77777777" w:rsidR="004D6C43" w:rsidRDefault="00000000">
      <w:pPr>
        <w:pStyle w:val="21"/>
        <w:spacing w:before="120" w:after="240"/>
        <w:rPr>
          <w:lang w:eastAsia="zh-CN"/>
        </w:rPr>
      </w:pPr>
      <w:r>
        <w:rPr>
          <w:rFonts w:ascii="Times New Roman" w:eastAsia="Heiti SC" w:hAnsi="Times New Roman"/>
          <w:lang w:eastAsia="zh-CN"/>
        </w:rPr>
        <w:t>（一）数据与分析对象</w:t>
      </w:r>
    </w:p>
    <w:p w14:paraId="38DF9AB6" w14:textId="65E57F5D" w:rsidR="004D6C43" w:rsidRDefault="00000000" w:rsidP="00E573CD">
      <w:pPr>
        <w:spacing w:before="120" w:after="240"/>
        <w:jc w:val="both"/>
        <w:rPr>
          <w:lang w:eastAsia="zh-CN"/>
        </w:rPr>
      </w:pPr>
      <w:r>
        <w:rPr>
          <w:rFonts w:eastAsia="Songti SC"/>
          <w:color w:val="000000"/>
          <w:lang w:eastAsia="zh-CN"/>
        </w:rPr>
        <w:t>本研究选择微博作为观察社交媒体信息参与的平台。微博将公共事务信息、明星文化内容与用户互动组织在同一传播网络中，账号的发帖和转发记录可以同时呈现信息消费与内容表达。为了获得帖子文本、转发关系、账号认证和性别等资料，本文整合了两个数据来源。第一类数据为购自第三方数据公司的大规模微博数据，包含微博正文、发帖账号、原帖与转发账号、发布时间和账号认证资料。该公司采用每日随机关键词方式采集公开微博，日均约</w:t>
      </w:r>
      <w:r>
        <w:rPr>
          <w:rFonts w:eastAsia="Songti SC"/>
          <w:color w:val="000000"/>
          <w:lang w:eastAsia="zh-CN"/>
        </w:rPr>
        <w:t>3000</w:t>
      </w:r>
      <w:r>
        <w:rPr>
          <w:rFonts w:eastAsia="Songti SC"/>
          <w:color w:val="000000"/>
          <w:lang w:eastAsia="zh-CN"/>
        </w:rPr>
        <w:t>万条。本文使用的原始帖子文件覆盖</w:t>
      </w:r>
      <w:r>
        <w:rPr>
          <w:rFonts w:eastAsia="Songti SC"/>
          <w:color w:val="000000"/>
          <w:lang w:eastAsia="zh-CN"/>
        </w:rPr>
        <w:t>2020</w:t>
      </w:r>
      <w:r>
        <w:rPr>
          <w:rFonts w:eastAsia="Songti SC"/>
          <w:color w:val="000000"/>
          <w:lang w:eastAsia="zh-CN"/>
        </w:rPr>
        <w:t>年</w:t>
      </w:r>
      <w:r>
        <w:rPr>
          <w:rFonts w:eastAsia="Songti SC"/>
          <w:color w:val="000000"/>
          <w:lang w:eastAsia="zh-CN"/>
        </w:rPr>
        <w:t>1-9</w:t>
      </w:r>
      <w:r>
        <w:rPr>
          <w:rFonts w:eastAsia="Songti SC"/>
          <w:color w:val="000000"/>
          <w:lang w:eastAsia="zh-CN"/>
        </w:rPr>
        <w:t>月和</w:t>
      </w:r>
      <w:r>
        <w:rPr>
          <w:rFonts w:eastAsia="Songti SC"/>
          <w:color w:val="000000"/>
          <w:lang w:eastAsia="zh-CN"/>
        </w:rPr>
        <w:t>11-12</w:t>
      </w:r>
      <w:r>
        <w:rPr>
          <w:rFonts w:eastAsia="Songti SC"/>
          <w:color w:val="000000"/>
          <w:lang w:eastAsia="zh-CN"/>
        </w:rPr>
        <w:t>月。第二类数据为</w:t>
      </w:r>
      <w:r>
        <w:rPr>
          <w:rFonts w:eastAsia="Songti SC"/>
          <w:color w:val="000000"/>
          <w:lang w:eastAsia="zh-CN"/>
        </w:rPr>
        <w:t>Weibo-COV 2.0</w:t>
      </w:r>
      <w:r>
        <w:rPr>
          <w:rFonts w:eastAsia="Songti SC"/>
          <w:color w:val="000000"/>
          <w:lang w:eastAsia="zh-CN"/>
        </w:rPr>
        <w:t>公开的</w:t>
      </w:r>
      <w:r>
        <w:rPr>
          <w:rFonts w:eastAsia="Songti SC"/>
          <w:color w:val="000000"/>
          <w:lang w:eastAsia="zh-CN"/>
        </w:rPr>
        <w:t>2000</w:t>
      </w:r>
      <w:r>
        <w:rPr>
          <w:rFonts w:eastAsia="Songti SC"/>
          <w:color w:val="000000"/>
          <w:lang w:eastAsia="zh-CN"/>
        </w:rPr>
        <w:t>万微博活跃账号资料库（</w:t>
      </w:r>
      <w:r>
        <w:rPr>
          <w:rFonts w:eastAsia="Songti SC"/>
          <w:color w:val="000000"/>
          <w:lang w:eastAsia="zh-CN"/>
        </w:rPr>
        <w:t>Hu</w:t>
      </w:r>
      <w:r>
        <w:rPr>
          <w:rFonts w:eastAsia="Songti SC"/>
          <w:color w:val="000000"/>
          <w:lang w:eastAsia="zh-CN"/>
        </w:rPr>
        <w:t>等，</w:t>
      </w:r>
      <w:r>
        <w:rPr>
          <w:rFonts w:eastAsia="Songti SC"/>
          <w:color w:val="000000"/>
          <w:lang w:eastAsia="zh-CN"/>
        </w:rPr>
        <w:t>2020</w:t>
      </w:r>
      <w:r>
        <w:rPr>
          <w:rFonts w:eastAsia="Songti SC"/>
          <w:color w:val="000000"/>
          <w:lang w:eastAsia="zh-CN"/>
        </w:rPr>
        <w:t>；项目主页：</w:t>
      </w:r>
      <w:r>
        <w:rPr>
          <w:rFonts w:eastAsia="Songti SC"/>
          <w:color w:val="000000"/>
          <w:lang w:eastAsia="zh-CN"/>
        </w:rPr>
        <w:t>https://github.com/nghuyong/weibo-cov</w:t>
      </w:r>
      <w:r>
        <w:rPr>
          <w:rFonts w:eastAsia="Songti SC"/>
          <w:color w:val="000000"/>
          <w:lang w:eastAsia="zh-CN"/>
        </w:rPr>
        <w:t>），包含账号</w:t>
      </w:r>
      <w:r>
        <w:rPr>
          <w:rFonts w:eastAsia="Songti SC"/>
          <w:color w:val="000000"/>
          <w:lang w:eastAsia="zh-CN"/>
        </w:rPr>
        <w:t>ID</w:t>
      </w:r>
      <w:r>
        <w:rPr>
          <w:rFonts w:eastAsia="Songti SC"/>
          <w:color w:val="000000"/>
          <w:lang w:eastAsia="zh-CN"/>
        </w:rPr>
        <w:t>、性别、地区、生日、粉丝数和会员等级等资料。本文以账号</w:t>
      </w:r>
      <w:r>
        <w:rPr>
          <w:rFonts w:eastAsia="Songti SC"/>
          <w:color w:val="000000"/>
          <w:lang w:eastAsia="zh-CN"/>
        </w:rPr>
        <w:t>ID</w:t>
      </w:r>
      <w:r>
        <w:rPr>
          <w:rFonts w:eastAsia="Songti SC"/>
          <w:color w:val="000000"/>
          <w:lang w:eastAsia="zh-CN"/>
        </w:rPr>
        <w:t>匹配两类数据，并对跨文件重复帖子进行去重，最终得到</w:t>
      </w:r>
      <w:r>
        <w:rPr>
          <w:rFonts w:eastAsia="Songti SC"/>
          <w:color w:val="000000"/>
          <w:lang w:eastAsia="zh-CN"/>
        </w:rPr>
        <w:t>225,339</w:t>
      </w:r>
      <w:r>
        <w:rPr>
          <w:rFonts w:eastAsia="Songti SC"/>
          <w:color w:val="000000"/>
          <w:lang w:eastAsia="zh-CN"/>
        </w:rPr>
        <w:t>个账号及其发布的</w:t>
      </w:r>
      <w:r>
        <w:rPr>
          <w:rFonts w:eastAsia="Songti SC"/>
          <w:color w:val="000000"/>
          <w:lang w:eastAsia="zh-CN"/>
        </w:rPr>
        <w:t>146,811,818</w:t>
      </w:r>
      <w:r>
        <w:rPr>
          <w:rFonts w:eastAsia="Songti SC"/>
          <w:color w:val="000000"/>
          <w:lang w:eastAsia="zh-CN"/>
        </w:rPr>
        <w:t>条帖子，其中男性账号</w:t>
      </w:r>
      <w:r>
        <w:rPr>
          <w:rFonts w:eastAsia="Songti SC"/>
          <w:color w:val="000000"/>
          <w:lang w:eastAsia="zh-CN"/>
        </w:rPr>
        <w:t>51,836</w:t>
      </w:r>
      <w:r>
        <w:rPr>
          <w:rFonts w:eastAsia="Songti SC"/>
          <w:color w:val="000000"/>
          <w:lang w:eastAsia="zh-CN"/>
        </w:rPr>
        <w:t>个，女性账号</w:t>
      </w:r>
      <w:r>
        <w:rPr>
          <w:rFonts w:eastAsia="Songti SC"/>
          <w:color w:val="000000"/>
          <w:lang w:eastAsia="zh-CN"/>
        </w:rPr>
        <w:t>173,503</w:t>
      </w:r>
      <w:r>
        <w:rPr>
          <w:rFonts w:eastAsia="Songti SC"/>
          <w:color w:val="000000"/>
          <w:lang w:eastAsia="zh-CN"/>
        </w:rPr>
        <w:t>个。主分析以账号为基本单位，将每个账号的帖子和转发记录汇总为信息消费、内容表达和活跃程度指标。月份分析以账号</w:t>
      </w:r>
      <w:r>
        <w:rPr>
          <w:rFonts w:eastAsia="Songti SC"/>
          <w:color w:val="000000"/>
          <w:lang w:eastAsia="zh-CN"/>
        </w:rPr>
        <w:t>-</w:t>
      </w:r>
      <w:r>
        <w:rPr>
          <w:rFonts w:eastAsia="Songti SC"/>
          <w:color w:val="000000"/>
          <w:lang w:eastAsia="zh-CN"/>
        </w:rPr>
        <w:t>月份为单位，并对同一账号的重复观察使用聚类标准误。</w:t>
      </w:r>
    </w:p>
    <w:p w14:paraId="753F072A" w14:textId="77777777" w:rsidR="004D6C43" w:rsidRDefault="00000000">
      <w:pPr>
        <w:pStyle w:val="21"/>
        <w:spacing w:before="120" w:after="240"/>
        <w:rPr>
          <w:lang w:eastAsia="zh-CN"/>
        </w:rPr>
      </w:pPr>
      <w:r>
        <w:rPr>
          <w:rFonts w:ascii="Times New Roman" w:eastAsia="Heiti SC" w:hAnsi="Times New Roman"/>
          <w:lang w:eastAsia="zh-CN"/>
        </w:rPr>
        <w:lastRenderedPageBreak/>
        <w:t>（二）信息消费的测量</w:t>
      </w:r>
    </w:p>
    <w:p w14:paraId="0E02C84D" w14:textId="77777777" w:rsidR="004D6C43" w:rsidRDefault="00000000">
      <w:pPr>
        <w:spacing w:before="120" w:after="240"/>
        <w:jc w:val="both"/>
        <w:rPr>
          <w:lang w:eastAsia="zh-CN"/>
        </w:rPr>
      </w:pPr>
      <w:r>
        <w:rPr>
          <w:rFonts w:eastAsia="Songti SC"/>
          <w:color w:val="000000"/>
          <w:lang w:eastAsia="zh-CN"/>
        </w:rPr>
        <w:t>本文将信息消费定义为账号对特定领域关键来源所发布信息的转发。转发记录表明账号接触并继续传播了该来源的信息，由此形成账号与相应信息领域之间的可观察联系。</w:t>
      </w:r>
    </w:p>
    <w:p w14:paraId="1BCAF6FC" w14:textId="77777777" w:rsidR="004D6C43" w:rsidRDefault="00000000">
      <w:pPr>
        <w:spacing w:before="120" w:after="240"/>
        <w:jc w:val="both"/>
        <w:rPr>
          <w:lang w:eastAsia="zh-CN"/>
        </w:rPr>
      </w:pPr>
      <w:r>
        <w:rPr>
          <w:rFonts w:eastAsia="Songti SC"/>
          <w:color w:val="000000"/>
          <w:lang w:eastAsia="zh-CN"/>
        </w:rPr>
        <w:t>公共事务领域的关键来源定义为具有制度化公共信息发布功能的微博账号。候选单位依据</w:t>
      </w:r>
      <w:r>
        <w:rPr>
          <w:rFonts w:eastAsia="Songti SC"/>
          <w:color w:val="000000"/>
          <w:lang w:eastAsia="zh-CN"/>
        </w:rPr>
        <w:t>2025</w:t>
      </w:r>
      <w:r>
        <w:rPr>
          <w:rFonts w:eastAsia="Songti SC"/>
          <w:color w:val="000000"/>
          <w:lang w:eastAsia="zh-CN"/>
        </w:rPr>
        <w:t>版互联网新闻信息稿源单位名单确定，涵盖中央新闻单位、中央重点新闻网站、政府发布平台和地方新闻单位等类别。将候选单位名称与微博账号资料进行匹配后，共识别</w:t>
      </w:r>
      <w:r>
        <w:rPr>
          <w:rFonts w:eastAsia="Songti SC"/>
          <w:color w:val="000000"/>
          <w:lang w:eastAsia="zh-CN"/>
        </w:rPr>
        <w:t>54</w:t>
      </w:r>
      <w:r>
        <w:rPr>
          <w:rFonts w:eastAsia="Songti SC"/>
          <w:color w:val="000000"/>
          <w:lang w:eastAsia="zh-CN"/>
        </w:rPr>
        <w:t>个官方媒体或政府发布账号，其中</w:t>
      </w:r>
      <w:r>
        <w:rPr>
          <w:rFonts w:eastAsia="Songti SC"/>
          <w:color w:val="000000"/>
          <w:lang w:eastAsia="zh-CN"/>
        </w:rPr>
        <w:t>47</w:t>
      </w:r>
      <w:r>
        <w:rPr>
          <w:rFonts w:eastAsia="Songti SC"/>
          <w:color w:val="000000"/>
          <w:lang w:eastAsia="zh-CN"/>
        </w:rPr>
        <w:t>个账号在</w:t>
      </w:r>
      <w:r>
        <w:rPr>
          <w:rFonts w:eastAsia="Songti SC"/>
          <w:color w:val="000000"/>
          <w:lang w:eastAsia="zh-CN"/>
        </w:rPr>
        <w:t>2020</w:t>
      </w:r>
      <w:r>
        <w:rPr>
          <w:rFonts w:eastAsia="Songti SC"/>
          <w:color w:val="000000"/>
          <w:lang w:eastAsia="zh-CN"/>
        </w:rPr>
        <w:t>年匹配样本中至少产生一条有效转发记录，构成公共事务来源集合。</w:t>
      </w:r>
    </w:p>
    <w:p w14:paraId="5471E030" w14:textId="77777777" w:rsidR="004D6C43" w:rsidRDefault="00000000">
      <w:pPr>
        <w:spacing w:before="120" w:after="240"/>
        <w:jc w:val="both"/>
        <w:rPr>
          <w:lang w:eastAsia="zh-CN"/>
        </w:rPr>
      </w:pPr>
      <w:r>
        <w:rPr>
          <w:rFonts w:eastAsia="Songti SC"/>
          <w:color w:val="000000"/>
          <w:lang w:eastAsia="zh-CN"/>
        </w:rPr>
        <w:t>明星文化领域的关键来源定义为微博认证资料显示其具有演艺身份的账号。认证说明中包含</w:t>
      </w:r>
      <w:r>
        <w:rPr>
          <w:rFonts w:eastAsia="Songti SC"/>
          <w:color w:val="000000"/>
          <w:lang w:eastAsia="zh-CN"/>
        </w:rPr>
        <w:t>“</w:t>
      </w:r>
      <w:r>
        <w:rPr>
          <w:rFonts w:eastAsia="Songti SC"/>
          <w:color w:val="000000"/>
          <w:lang w:eastAsia="zh-CN"/>
        </w:rPr>
        <w:t>演员</w:t>
      </w:r>
      <w:r>
        <w:rPr>
          <w:rFonts w:eastAsia="Songti SC"/>
          <w:color w:val="000000"/>
          <w:lang w:eastAsia="zh-CN"/>
        </w:rPr>
        <w:t>”“</w:t>
      </w:r>
      <w:r>
        <w:rPr>
          <w:rFonts w:eastAsia="Songti SC"/>
          <w:color w:val="000000"/>
          <w:lang w:eastAsia="zh-CN"/>
        </w:rPr>
        <w:t>歌手</w:t>
      </w:r>
      <w:r>
        <w:rPr>
          <w:rFonts w:eastAsia="Songti SC"/>
          <w:color w:val="000000"/>
          <w:lang w:eastAsia="zh-CN"/>
        </w:rPr>
        <w:t>”“</w:t>
      </w:r>
      <w:r>
        <w:rPr>
          <w:rFonts w:eastAsia="Songti SC"/>
          <w:color w:val="000000"/>
          <w:lang w:eastAsia="zh-CN"/>
        </w:rPr>
        <w:t>艺人</w:t>
      </w:r>
      <w:r>
        <w:rPr>
          <w:rFonts w:eastAsia="Songti SC"/>
          <w:color w:val="000000"/>
          <w:lang w:eastAsia="zh-CN"/>
        </w:rPr>
        <w:t>”“</w:t>
      </w:r>
      <w:r>
        <w:rPr>
          <w:rFonts w:eastAsia="Songti SC"/>
          <w:color w:val="000000"/>
          <w:lang w:eastAsia="zh-CN"/>
        </w:rPr>
        <w:t>主唱</w:t>
      </w:r>
      <w:r>
        <w:rPr>
          <w:rFonts w:eastAsia="Songti SC"/>
          <w:color w:val="000000"/>
          <w:lang w:eastAsia="zh-CN"/>
        </w:rPr>
        <w:t>”“</w:t>
      </w:r>
      <w:r>
        <w:rPr>
          <w:rFonts w:eastAsia="Songti SC"/>
          <w:color w:val="000000"/>
          <w:lang w:eastAsia="zh-CN"/>
        </w:rPr>
        <w:t>偶像</w:t>
      </w:r>
      <w:r>
        <w:rPr>
          <w:rFonts w:eastAsia="Songti SC"/>
          <w:color w:val="000000"/>
          <w:lang w:eastAsia="zh-CN"/>
        </w:rPr>
        <w:t>”“</w:t>
      </w:r>
      <w:r>
        <w:rPr>
          <w:rFonts w:eastAsia="Songti SC"/>
          <w:color w:val="000000"/>
          <w:lang w:eastAsia="zh-CN"/>
        </w:rPr>
        <w:t>乐队</w:t>
      </w:r>
      <w:r>
        <w:rPr>
          <w:rFonts w:eastAsia="Songti SC"/>
          <w:color w:val="000000"/>
          <w:lang w:eastAsia="zh-CN"/>
        </w:rPr>
        <w:t>”“</w:t>
      </w:r>
      <w:r>
        <w:rPr>
          <w:rFonts w:eastAsia="Songti SC"/>
          <w:color w:val="000000"/>
          <w:lang w:eastAsia="zh-CN"/>
        </w:rPr>
        <w:t>歌星</w:t>
      </w:r>
      <w:r>
        <w:rPr>
          <w:rFonts w:eastAsia="Songti SC"/>
          <w:color w:val="000000"/>
          <w:lang w:eastAsia="zh-CN"/>
        </w:rPr>
        <w:t>”“</w:t>
      </w:r>
      <w:r>
        <w:rPr>
          <w:rFonts w:eastAsia="Songti SC"/>
          <w:color w:val="000000"/>
          <w:lang w:eastAsia="zh-CN"/>
        </w:rPr>
        <w:t>唱作人</w:t>
      </w:r>
      <w:r>
        <w:rPr>
          <w:rFonts w:eastAsia="Songti SC"/>
          <w:color w:val="000000"/>
          <w:lang w:eastAsia="zh-CN"/>
        </w:rPr>
        <w:t>”“</w:t>
      </w:r>
      <w:r>
        <w:rPr>
          <w:rFonts w:eastAsia="Songti SC"/>
          <w:color w:val="000000"/>
          <w:lang w:eastAsia="zh-CN"/>
        </w:rPr>
        <w:t>导演</w:t>
      </w:r>
      <w:r>
        <w:rPr>
          <w:rFonts w:eastAsia="Songti SC"/>
          <w:color w:val="000000"/>
          <w:lang w:eastAsia="zh-CN"/>
        </w:rPr>
        <w:t>”“</w:t>
      </w:r>
      <w:r>
        <w:rPr>
          <w:rFonts w:eastAsia="Songti SC"/>
          <w:color w:val="000000"/>
          <w:lang w:eastAsia="zh-CN"/>
        </w:rPr>
        <w:t>童星</w:t>
      </w:r>
      <w:r>
        <w:rPr>
          <w:rFonts w:eastAsia="Songti SC"/>
          <w:color w:val="000000"/>
          <w:lang w:eastAsia="zh-CN"/>
        </w:rPr>
        <w:t>”</w:t>
      </w:r>
      <w:r>
        <w:rPr>
          <w:rFonts w:eastAsia="Songti SC"/>
          <w:color w:val="000000"/>
          <w:lang w:eastAsia="zh-CN"/>
        </w:rPr>
        <w:t>或</w:t>
      </w:r>
      <w:r>
        <w:rPr>
          <w:rFonts w:eastAsia="Songti SC"/>
          <w:color w:val="000000"/>
          <w:lang w:eastAsia="zh-CN"/>
        </w:rPr>
        <w:t>“</w:t>
      </w:r>
      <w:r>
        <w:rPr>
          <w:rFonts w:eastAsia="Songti SC"/>
          <w:color w:val="000000"/>
          <w:lang w:eastAsia="zh-CN"/>
        </w:rPr>
        <w:t>音乐人</w:t>
      </w:r>
      <w:r>
        <w:rPr>
          <w:rFonts w:eastAsia="Songti SC"/>
          <w:color w:val="000000"/>
          <w:lang w:eastAsia="zh-CN"/>
        </w:rPr>
        <w:t>”</w:t>
      </w:r>
      <w:r>
        <w:rPr>
          <w:rFonts w:eastAsia="Songti SC"/>
          <w:color w:val="000000"/>
          <w:lang w:eastAsia="zh-CN"/>
        </w:rPr>
        <w:t>的账号进入候选集合，清理后共有</w:t>
      </w:r>
      <w:r>
        <w:rPr>
          <w:rFonts w:eastAsia="Songti SC"/>
          <w:color w:val="000000"/>
          <w:lang w:eastAsia="zh-CN"/>
        </w:rPr>
        <w:t>216</w:t>
      </w:r>
      <w:r>
        <w:rPr>
          <w:rFonts w:eastAsia="Songti SC"/>
          <w:color w:val="000000"/>
          <w:lang w:eastAsia="zh-CN"/>
        </w:rPr>
        <w:t>个账号在</w:t>
      </w:r>
      <w:r>
        <w:rPr>
          <w:rFonts w:eastAsia="Songti SC"/>
          <w:color w:val="000000"/>
          <w:lang w:eastAsia="zh-CN"/>
        </w:rPr>
        <w:t>2020</w:t>
      </w:r>
      <w:r>
        <w:rPr>
          <w:rFonts w:eastAsia="Songti SC"/>
          <w:color w:val="000000"/>
          <w:lang w:eastAsia="zh-CN"/>
        </w:rPr>
        <w:t>年匹配样本中产生有效转发记录，构成明星文化来源集合。</w:t>
      </w:r>
    </w:p>
    <w:p w14:paraId="2FB26595" w14:textId="77777777" w:rsidR="004D6C43" w:rsidRDefault="00000000">
      <w:pPr>
        <w:spacing w:before="120" w:after="240"/>
        <w:jc w:val="both"/>
        <w:rPr>
          <w:lang w:eastAsia="zh-CN"/>
        </w:rPr>
      </w:pPr>
      <w:r>
        <w:rPr>
          <w:rFonts w:eastAsia="Songti SC"/>
          <w:color w:val="000000"/>
          <w:lang w:eastAsia="zh-CN"/>
        </w:rPr>
        <w:t>每条转发记录按照原帖作者的账号</w:t>
      </w:r>
      <w:r>
        <w:rPr>
          <w:rFonts w:eastAsia="Songti SC"/>
          <w:color w:val="000000"/>
          <w:lang w:eastAsia="zh-CN"/>
        </w:rPr>
        <w:t>ID</w:t>
      </w:r>
      <w:r>
        <w:rPr>
          <w:rFonts w:eastAsia="Songti SC"/>
          <w:color w:val="000000"/>
          <w:lang w:eastAsia="zh-CN"/>
        </w:rPr>
        <w:t>与两个来源集合进行匹配，统计样本账号对来源账号的转发事件；同一账号对同一原帖的重复转发按领域合并为一次。账号在观察期内至少转发过一次某领域来源，即记为参与该领域的信息消费。主分析使用这一二元指标，同时记录领域来源转发次数、领域来源转发占全部转发的比例、发生转发的月份占活跃月份的比例，以及转发时间与原帖发布时间的间隔。</w:t>
      </w:r>
    </w:p>
    <w:p w14:paraId="69EFDE4B" w14:textId="77777777" w:rsidR="004D6C43" w:rsidRDefault="00000000">
      <w:pPr>
        <w:pStyle w:val="21"/>
        <w:spacing w:before="120" w:after="240"/>
        <w:rPr>
          <w:lang w:eastAsia="zh-CN"/>
        </w:rPr>
      </w:pPr>
      <w:r>
        <w:rPr>
          <w:rFonts w:ascii="Times New Roman" w:eastAsia="Heiti SC" w:hAnsi="Times New Roman"/>
          <w:lang w:eastAsia="zh-CN"/>
        </w:rPr>
        <w:t>（三）内容表达的测量</w:t>
      </w:r>
    </w:p>
    <w:p w14:paraId="322FC2EE" w14:textId="77777777" w:rsidR="004D6C43" w:rsidRDefault="00000000">
      <w:pPr>
        <w:spacing w:before="120" w:after="240"/>
        <w:jc w:val="both"/>
        <w:rPr>
          <w:lang w:eastAsia="zh-CN"/>
        </w:rPr>
      </w:pPr>
      <w:r>
        <w:rPr>
          <w:rFonts w:eastAsia="Songti SC"/>
          <w:color w:val="000000"/>
          <w:lang w:eastAsia="zh-CN"/>
        </w:rPr>
        <w:t>内容表达以账号在观察期内发布的有效文字帖为分析基础。原始文本先截断字面转发链标记，再清理网址、空白和无意义符号。有效文字帖包括原创文字帖和带有新增文字的转发帖；纯转发、纯图片、纯链接以及清理后没有文字的帖子归为非文字帖。没有有效文字帖的账号在内容表达分析中记为缺失。</w:t>
      </w:r>
    </w:p>
    <w:p w14:paraId="6D55FC93" w14:textId="77777777" w:rsidR="004D6C43" w:rsidRDefault="00000000">
      <w:pPr>
        <w:spacing w:before="120" w:after="240"/>
        <w:jc w:val="both"/>
        <w:rPr>
          <w:lang w:eastAsia="zh-CN"/>
        </w:rPr>
      </w:pPr>
      <w:r>
        <w:rPr>
          <w:rFonts w:eastAsia="Songti SC"/>
          <w:color w:val="000000"/>
          <w:lang w:eastAsia="zh-CN"/>
        </w:rPr>
        <w:t>公共事务词表以</w:t>
      </w:r>
      <w:r>
        <w:rPr>
          <w:rFonts w:eastAsia="Songti SC"/>
          <w:color w:val="000000"/>
          <w:lang w:eastAsia="zh-CN"/>
        </w:rPr>
        <w:t>54</w:t>
      </w:r>
      <w:r>
        <w:rPr>
          <w:rFonts w:eastAsia="Songti SC"/>
          <w:color w:val="000000"/>
          <w:lang w:eastAsia="zh-CN"/>
        </w:rPr>
        <w:t>个公共事务来源账号在</w:t>
      </w:r>
      <w:r>
        <w:rPr>
          <w:rFonts w:eastAsia="Songti SC"/>
          <w:color w:val="000000"/>
          <w:lang w:eastAsia="zh-CN"/>
        </w:rPr>
        <w:t>2020</w:t>
      </w:r>
      <w:r>
        <w:rPr>
          <w:rFonts w:eastAsia="Songti SC"/>
          <w:color w:val="000000"/>
          <w:lang w:eastAsia="zh-CN"/>
        </w:rPr>
        <w:t>年发布的微博为基础语料。研究首先对文本进行清理、分词和词性标注，仅保留二字以上的名词和动词；随后对候选词进行语义归类，并结合词频和</w:t>
      </w:r>
      <w:r>
        <w:rPr>
          <w:rFonts w:eastAsia="Songti SC"/>
          <w:color w:val="000000"/>
          <w:lang w:eastAsia="zh-CN"/>
        </w:rPr>
        <w:t>TF-IDF</w:t>
      </w:r>
      <w:r>
        <w:rPr>
          <w:rFonts w:eastAsia="Songti SC"/>
          <w:color w:val="000000"/>
          <w:lang w:eastAsia="zh-CN"/>
        </w:rPr>
        <w:t>排序形成</w:t>
      </w:r>
      <w:r>
        <w:rPr>
          <w:rFonts w:eastAsia="Songti SC"/>
          <w:color w:val="000000"/>
          <w:lang w:eastAsia="zh-CN"/>
        </w:rPr>
        <w:t>5000</w:t>
      </w:r>
      <w:r>
        <w:rPr>
          <w:rFonts w:eastAsia="Songti SC"/>
          <w:color w:val="000000"/>
          <w:lang w:eastAsia="zh-CN"/>
        </w:rPr>
        <w:t>个候选词；最后人工逐项排除日常通用词和不能稳定指向公共事务的词条，得到</w:t>
      </w:r>
      <w:r>
        <w:rPr>
          <w:rFonts w:eastAsia="Songti SC"/>
          <w:color w:val="000000"/>
          <w:lang w:eastAsia="zh-CN"/>
        </w:rPr>
        <w:t>816</w:t>
      </w:r>
      <w:r>
        <w:rPr>
          <w:rFonts w:eastAsia="Songti SC"/>
          <w:color w:val="000000"/>
          <w:lang w:eastAsia="zh-CN"/>
        </w:rPr>
        <w:t>个公共事务词条。</w:t>
      </w:r>
    </w:p>
    <w:p w14:paraId="16C7849F" w14:textId="77777777" w:rsidR="004D6C43" w:rsidRDefault="00000000">
      <w:pPr>
        <w:spacing w:before="120" w:after="240"/>
        <w:jc w:val="both"/>
        <w:rPr>
          <w:lang w:eastAsia="zh-CN"/>
        </w:rPr>
      </w:pPr>
      <w:r>
        <w:rPr>
          <w:rFonts w:eastAsia="Songti SC"/>
          <w:color w:val="000000"/>
          <w:lang w:eastAsia="zh-CN"/>
        </w:rPr>
        <w:t>明星词表以</w:t>
      </w:r>
      <w:r>
        <w:rPr>
          <w:rFonts w:eastAsia="Songti SC"/>
          <w:color w:val="000000"/>
          <w:lang w:eastAsia="zh-CN"/>
        </w:rPr>
        <w:t>2020</w:t>
      </w:r>
      <w:r>
        <w:rPr>
          <w:rFonts w:eastAsia="Songti SC"/>
          <w:color w:val="000000"/>
          <w:lang w:eastAsia="zh-CN"/>
        </w:rPr>
        <w:t>年微博热搜榜单为候选来源。考虑到演艺明星频繁进入热搜，研究先剔除广告词条并对重复热搜词去重，再对热搜词条进行语义归类，并使用基于词性标注的命名实体识别提取人名、复合人名和作品名。候选项经过词频筛选后，由大模型判断其是否属于演艺人物或娱乐作品，最后通过人工审核保留</w:t>
      </w:r>
      <w:r>
        <w:rPr>
          <w:rFonts w:eastAsia="Songti SC"/>
          <w:color w:val="000000"/>
          <w:lang w:eastAsia="zh-CN"/>
        </w:rPr>
        <w:t>535</w:t>
      </w:r>
      <w:r>
        <w:rPr>
          <w:rFonts w:eastAsia="Songti SC"/>
          <w:color w:val="000000"/>
          <w:lang w:eastAsia="zh-CN"/>
        </w:rPr>
        <w:t>个明星姓名。</w:t>
      </w:r>
    </w:p>
    <w:p w14:paraId="7F378CEB" w14:textId="77777777" w:rsidR="004D6C43" w:rsidRDefault="00000000">
      <w:pPr>
        <w:spacing w:before="120" w:after="240"/>
        <w:jc w:val="both"/>
        <w:rPr>
          <w:lang w:eastAsia="zh-CN"/>
        </w:rPr>
      </w:pPr>
      <w:r>
        <w:rPr>
          <w:rFonts w:eastAsia="Songti SC"/>
          <w:color w:val="000000"/>
          <w:lang w:eastAsia="zh-CN"/>
        </w:rPr>
        <w:t>两套词表均采用最左最长且区间不重叠的字符串匹配规则，以避免嵌套词重复计数。一条有效文字帖命中至少一个领域词条，即被记为该领域帖子；同一帖子可以同时属于两个领域。账号的领域内容比例等于该领域帖子数除以有效文字帖总数，两个领域的比例分别独立计算。</w:t>
      </w:r>
    </w:p>
    <w:p w14:paraId="11260650" w14:textId="77777777" w:rsidR="004D6C43" w:rsidRDefault="00000000">
      <w:pPr>
        <w:pStyle w:val="21"/>
        <w:spacing w:before="120" w:after="240"/>
        <w:rPr>
          <w:lang w:eastAsia="zh-CN"/>
        </w:rPr>
      </w:pPr>
      <w:r>
        <w:rPr>
          <w:rFonts w:ascii="Times New Roman" w:eastAsia="Heiti SC" w:hAnsi="Times New Roman"/>
          <w:lang w:eastAsia="zh-CN"/>
        </w:rPr>
        <w:lastRenderedPageBreak/>
        <w:t>（四）模型设计</w:t>
      </w:r>
    </w:p>
    <w:p w14:paraId="7B420001" w14:textId="77777777" w:rsidR="004D6C43" w:rsidRDefault="00000000">
      <w:pPr>
        <w:spacing w:before="120" w:after="240"/>
        <w:jc w:val="both"/>
        <w:rPr>
          <w:lang w:eastAsia="zh-CN"/>
        </w:rPr>
      </w:pPr>
      <w:r>
        <w:rPr>
          <w:rFonts w:eastAsia="Songti SC" w:ascii="Times New Roman" w:hAnsi="Times New Roman"/>
          <w:color w:val="000000"/>
          <w:lang w:eastAsia="zh-CN"/>
        </w:rPr>
        <w:t>分析分为描述比较和回归比较两步。首先，分别计算男性账号和女性账号在公共事务与明星文化两个领域中的信息消费概率和内容表达比例，呈现平台中实际观察到的性别差异。随后，针对四项核心结果分别估计回归模型。信息消费的两个指标均为二元变量，因此采用Logit模型；内容表达的两个指标是取值位于0和1之间的比例，因此采用分数Logit模型。三组嵌套模型逐步增加控制变量。M0只加入账号性别：</w:t>
      </w:r>
    </w:p>
    <w:p w14:paraId="7B420002" w14:textId="6EADEA17" w:rsidR="004D6C43" w:rsidRDefault="00000000">
      <w:pPr>
        <w:spacing w:before="120" w:after="240"/>
        <w:jc w:val="center"/>
        <w:rPr>
          <w:lang w:eastAsia="zh-CN"/>
        </w:rPr>
      </w:pPr>
      <m:oMath>
        <m:r>
          <m:rPr>
            <m:sty m:val="p"/>
          </m:rPr>
          <w:rPr>
            <w:rFonts w:ascii="Cambria Math" w:hAnsi="Cambria Math"/>
            <w:sz w:val="21"/>
          </w:rPr>
          <m:t>logit</m:t>
        </m:r>
        <m:d>
          <m:dPr>
            <m:begChr m:val="["/>
            <m:endChr m:val="]"/>
          </m:dPr>
          <m:e>
            <m:r>
              <w:rPr>
                <w:rFonts w:ascii="Cambria Math" w:hAnsi="Cambria Math"/>
                <w:sz w:val="21"/>
              </w:rPr>
              <m:t>E</m:t>
            </m:r>
            <m:d>
              <m:dPr>
                <m:begChr m:val="("/>
                <m:endChr m:val=")"/>
              </m:dPr>
              <m:e>
                <m:sSub>
                  <m:sSubPr/>
                  <m:e>
                    <m:r>
                      <w:rPr>
                        <w:rFonts w:ascii="Cambria Math" w:hAnsi="Cambria Math"/>
                        <w:sz w:val="21"/>
                      </w:rPr>
                      <m:t>Y</m:t>
                    </m:r>
                  </m:e>
                  <m:sub>
                    <m:r>
                      <w:rPr>
                        <w:rFonts w:ascii="Cambria Math" w:hAnsi="Cambria Math"/>
                        <w:sz w:val="21"/>
                      </w:rPr>
                      <m:t>i</m:t>
                    </m:r>
                  </m:sub>
                </m:sSub>
              </m:e>
            </m:d>
          </m:e>
        </m:d>
        <m:r>
          <w:rPr>
            <w:rFonts w:ascii="Cambria Math" w:hAnsi="Cambria Math"/>
            <w:sz w:val="21"/>
          </w:rPr>
          <m:t xml:space="preserve"> = α + β</m:t>
        </m:r>
        <m:sSub>
          <m:sSubPr/>
          <m:e>
            <m:r>
              <w:rPr>
                <w:rFonts w:ascii="Cambria Math" w:hAnsi="Cambria Math"/>
                <w:sz w:val="21"/>
              </w:rPr>
              <m:t>Male</m:t>
            </m:r>
          </m:e>
          <m:sub>
            <m:r>
              <w:rPr>
                <w:rFonts w:ascii="Cambria Math" w:hAnsi="Cambria Math"/>
                <w:sz w:val="21"/>
              </w:rPr>
              <m:t>i</m:t>
            </m:r>
          </m:sub>
        </m:sSub>
      </m:oMath>
      <w:r>
        <w:rPr>
          <w:rFonts w:eastAsia="Songti SC"/>
          <w:color w:val="000000"/>
          <w:lang w:eastAsia="zh-CN"/>
        </w:rPr>
        <w:t>（</w:t>
      </w:r>
      <w:r>
        <w:rPr>
          <w:rFonts w:eastAsia="Songti SC"/>
          <w:color w:val="000000"/>
          <w:lang w:eastAsia="zh-CN"/>
        </w:rPr>
        <w:t>M0</w:t>
      </w:r>
      <w:r>
        <w:rPr>
          <w:rFonts w:eastAsia="Songti SC"/>
          <w:color w:val="000000"/>
          <w:lang w:eastAsia="zh-CN"/>
        </w:rPr>
        <w:t>）</w:t>
      </w:r>
    </w:p>
    <w:p w14:paraId="7B42000C" w14:textId="77777777" w:rsidR="004D6C43" w:rsidRDefault="00000000">
      <w:pPr>
        <w:spacing w:before="120" w:after="240"/>
        <w:jc w:val="both"/>
        <w:rPr>
          <w:lang w:eastAsia="zh-CN"/>
        </w:rPr>
      </w:pPr>
      <m:oMath>
        <m:sSub>
          <m:sSubPr/>
          <m:e>
            <m:r>
              <w:rPr>
                <w:rFonts w:ascii="Cambria Math" w:hAnsi="Cambria Math"/>
                <w:sz w:val="21"/>
              </w:rPr>
              <m:t>Y</m:t>
            </m:r>
          </m:e>
          <m:sub>
            <m:r>
              <w:rPr>
                <w:rFonts w:ascii="Cambria Math" w:hAnsi="Cambria Math"/>
                <w:sz w:val="21"/>
              </w:rPr>
              <m:t>i</m:t>
            </m:r>
          </m:sub>
        </m:sSub>
      </m:oMath>
      <w:r>
        <w:rPr>
          <w:rFonts w:eastAsia="Songti SC" w:ascii="Times New Roman" w:hAnsi="Times New Roman"/>
          <w:color w:val="000000"/>
          <w:lang w:eastAsia="zh-CN"/>
        </w:rPr>
        <w:t>表示账号</w:t>
      </w:r>
      <m:oMath>
        <m:r>
          <w:rPr>
            <w:rFonts w:ascii="Cambria Math" w:hAnsi="Cambria Math"/>
            <w:sz w:val="21"/>
          </w:rPr>
          <m:t>i</m:t>
        </m:r>
      </m:oMath>
      <w:r>
        <w:rPr>
          <w:rFonts w:eastAsia="Songti SC" w:ascii="Times New Roman" w:hAnsi="Times New Roman"/>
          <w:color w:val="000000"/>
          <w:lang w:eastAsia="zh-CN"/>
        </w:rPr>
        <w:t>的四项领域参与结果之一：是否转发过公共事务来源、是否转发过明星文化来源、公共事务帖占有效文字帖的比例，以及明星帖占有效文字帖的比例；</w:t>
      </w:r>
      <m:oMath>
        <m:sSub>
          <m:sSubPr/>
          <m:e>
            <m:r>
              <w:rPr>
                <w:rFonts w:ascii="Cambria Math" w:hAnsi="Cambria Math"/>
                <w:sz w:val="21"/>
              </w:rPr>
              <m:t>Male</m:t>
            </m:r>
          </m:e>
          <m:sub>
            <m:r>
              <w:rPr>
                <w:rFonts w:ascii="Cambria Math" w:hAnsi="Cambria Math"/>
                <w:sz w:val="21"/>
              </w:rPr>
              <m:t>i</m:t>
            </m:r>
          </m:sub>
        </m:sSub>
      </m:oMath>
      <w:r>
        <w:rPr>
          <w:rFonts w:eastAsia="Songti SC" w:ascii="Times New Roman" w:hAnsi="Times New Roman"/>
          <w:color w:val="000000"/>
          <w:lang w:eastAsia="zh-CN"/>
        </w:rPr>
        <w:t>在男性账号中取1，在女性账号中取0。</w:t>
      </w:r>
    </w:p>
    <w:p w14:paraId="7B420003" w14:textId="77777777" w:rsidR="004D6C43" w:rsidRDefault="00000000">
      <w:pPr>
        <w:spacing w:before="120" w:after="240"/>
        <w:jc w:val="both"/>
        <w:rPr>
          <w:lang w:eastAsia="zh-CN"/>
        </w:rPr>
      </w:pPr>
      <w:r>
        <w:rPr>
          <w:rFonts w:eastAsia="Songti SC" w:ascii="Times New Roman" w:hAnsi="Times New Roman"/>
          <w:color w:val="000000"/>
          <w:lang w:eastAsia="zh-CN"/>
        </w:rPr>
        <w:t>M1在M0的基础上控制账号的总体使用程度，用于比较平台使用程度相近的账号：</w:t>
      </w:r>
    </w:p>
    <w:p w14:paraId="7B420009" w14:textId="77777777" w:rsidR="004D6C43" w:rsidRDefault="00000000">
      <w:pPr>
        <w:spacing w:before="120" w:after="240"/>
        <w:jc w:val="center"/>
        <w:rPr>
          <w:lang w:eastAsia="zh-CN"/>
        </w:rPr>
      </w:pPr>
      <m:oMath>
        <m:r>
          <m:rPr>
            <m:sty m:val="p"/>
          </m:rPr>
          <w:rPr>
            <w:rFonts w:ascii="Cambria Math" w:hAnsi="Cambria Math"/>
            <w:sz w:val="21"/>
          </w:rPr>
          <m:t>logit</m:t>
        </m:r>
        <m:d>
          <m:dPr>
            <m:begChr m:val="["/>
            <m:endChr m:val="]"/>
          </m:dPr>
          <m:e>
            <m:r>
              <w:rPr>
                <w:rFonts w:ascii="Cambria Math" w:hAnsi="Cambria Math"/>
                <w:sz w:val="21"/>
              </w:rPr>
              <m:t>E</m:t>
            </m:r>
            <m:d>
              <m:dPr>
                <m:begChr m:val="("/>
                <m:endChr m:val=")"/>
              </m:dPr>
              <m:e>
                <m:sSub>
                  <m:sSubPr/>
                  <m:e>
                    <m:r>
                      <w:rPr>
                        <w:rFonts w:ascii="Cambria Math" w:hAnsi="Cambria Math"/>
                        <w:sz w:val="21"/>
                      </w:rPr>
                      <m:t>Y</m:t>
                    </m:r>
                  </m:e>
                  <m:sub>
                    <m:r>
                      <w:rPr>
                        <w:rFonts w:ascii="Cambria Math" w:hAnsi="Cambria Math"/>
                        <w:sz w:val="21"/>
                      </w:rPr>
                      <m:t>i</m:t>
                    </m:r>
                  </m:sub>
                </m:sSub>
              </m:e>
            </m:d>
          </m:e>
        </m:d>
        <m:r>
          <w:rPr>
            <w:rFonts w:ascii="Cambria Math" w:hAnsi="Cambria Math"/>
            <w:sz w:val="21"/>
          </w:rPr>
          <m:t xml:space="preserve"> = α + β</m:t>
        </m:r>
        <m:sSub>
          <m:sSubPr/>
          <m:e>
            <m:r>
              <w:rPr>
                <w:rFonts w:ascii="Cambria Math" w:hAnsi="Cambria Math"/>
                <w:sz w:val="21"/>
              </w:rPr>
              <m:t>Male</m:t>
            </m:r>
          </m:e>
          <m:sub>
            <m:r>
              <w:rPr>
                <w:rFonts w:ascii="Cambria Math" w:hAnsi="Cambria Math"/>
                <w:sz w:val="21"/>
              </w:rPr>
              <m:t>i</m:t>
            </m:r>
          </m:sub>
        </m:sSub>
        <m:r>
          <w:rPr>
            <w:rFonts w:ascii="Cambria Math" w:hAnsi="Cambria Math"/>
            <w:sz w:val="21"/>
          </w:rPr>
          <m:t xml:space="preserve"> + γ</m:t>
        </m:r>
        <m:sSub>
          <m:sSubPr/>
          <m:e>
            <m:r>
              <w:rPr>
                <w:rFonts w:ascii="Cambria Math" w:hAnsi="Cambria Math"/>
                <w:sz w:val="21"/>
              </w:rPr>
              <m:t>X</m:t>
            </m:r>
          </m:e>
          <m:sub>
            <m:r>
              <w:rPr>
                <w:rFonts w:ascii="Cambria Math" w:hAnsi="Cambria Math"/>
                <w:sz w:val="21"/>
              </w:rPr>
              <m:t>i</m:t>
            </m:r>
          </m:sub>
        </m:sSub>
      </m:oMath>
      <w:r>
        <w:rPr>
          <w:rFonts w:eastAsia="Songti SC"/>
          <w:color w:val="000000"/>
          <w:lang w:eastAsia="zh-CN"/>
        </w:rPr>
        <w:t xml:space="preserve">　（</w:t>
      </w:r>
      <w:r>
        <w:rPr>
          <w:rFonts w:eastAsia="Songti SC"/>
          <w:color w:val="000000"/>
          <w:lang w:eastAsia="zh-CN"/>
        </w:rPr>
        <w:t>M1</w:t>
      </w:r>
      <w:r>
        <w:rPr>
          <w:rFonts w:eastAsia="Songti SC"/>
          <w:color w:val="000000"/>
          <w:lang w:eastAsia="zh-CN"/>
        </w:rPr>
        <w:t>）</w:t>
      </w:r>
    </w:p>
    <w:p w14:paraId="7B42000D" w14:textId="77777777" w:rsidR="004D6C43" w:rsidRDefault="00000000">
      <w:pPr>
        <w:spacing w:before="120" w:after="240"/>
        <w:jc w:val="both"/>
        <w:rPr>
          <w:lang w:eastAsia="zh-CN"/>
        </w:rPr>
      </w:pPr>
      <m:oMath>
        <m:sSub>
          <m:sSubPr/>
          <m:e>
            <m:r>
              <w:rPr>
                <w:rFonts w:ascii="Cambria Math" w:hAnsi="Cambria Math"/>
                <w:sz w:val="21"/>
              </w:rPr>
              <m:t>X</m:t>
            </m:r>
          </m:e>
          <m:sub>
            <m:r>
              <w:rPr>
                <w:rFonts w:ascii="Cambria Math" w:hAnsi="Cambria Math"/>
                <w:sz w:val="21"/>
              </w:rPr>
              <m:t>i</m:t>
            </m:r>
          </m:sub>
        </m:sSub>
      </m:oMath>
      <w:r>
        <w:rPr>
          <w:rFonts w:eastAsia="Songti SC" w:ascii="Times New Roman" w:hAnsi="Times New Roman"/>
          <w:color w:val="000000"/>
          <w:lang w:eastAsia="zh-CN"/>
        </w:rPr>
        <w:t>包括经</w:t>
      </w:r>
      <m:oMath>
        <m:r>
          <m:rPr>
            <m:sty m:val="p"/>
          </m:rPr>
          <w:rPr>
            <w:rFonts w:ascii="Cambria Math" w:hAnsi="Cambria Math"/>
            <w:sz w:val="21"/>
          </w:rPr>
          <m:t>log</m:t>
        </m:r>
        <m:d>
          <m:dPr>
            <m:begChr m:val="("/>
            <m:endChr m:val=")"/>
          </m:dPr>
          <m:e>
            <m:r>
              <w:rPr>
                <w:rFonts w:ascii="Cambria Math" w:hAnsi="Cambria Math"/>
                <w:sz w:val="21"/>
              </w:rPr>
              <m:t>1 + x</m:t>
            </m:r>
          </m:e>
        </m:d>
      </m:oMath>
      <w:r>
        <w:rPr>
          <w:rFonts w:eastAsia="Songti SC" w:ascii="Times New Roman" w:hAnsi="Times New Roman"/>
          <w:color w:val="000000"/>
          <w:lang w:eastAsia="zh-CN"/>
        </w:rPr>
        <w:t>转换的全年发帖数和转发数，以及活跃天数和活跃月份。M1使用各项结果对应的全部可用样本，是本文报告核心结果的主要模型。</w:t>
      </w:r>
    </w:p>
    <w:p w14:paraId="7B42000A" w14:textId="77777777" w:rsidR="004D6C43" w:rsidRDefault="00000000">
      <w:pPr>
        <w:spacing w:before="120" w:after="240"/>
        <w:jc w:val="both"/>
        <w:rPr>
          <w:lang w:eastAsia="zh-CN"/>
        </w:rPr>
      </w:pPr>
      <w:r>
        <w:rPr>
          <w:rFonts w:eastAsia="Songti SC" w:ascii="Times New Roman" w:hAnsi="Times New Roman"/>
          <w:color w:val="000000"/>
          <w:lang w:eastAsia="zh-CN"/>
        </w:rPr>
        <w:t>M2在M1的基础上进一步控制账号资料：</w:t>
      </w:r>
    </w:p>
    <w:p w14:paraId="7B42000B" w14:textId="77777777" w:rsidR="004D6C43" w:rsidRDefault="00000000">
      <w:pPr>
        <w:spacing w:before="120" w:after="240"/>
        <w:jc w:val="center"/>
        <w:rPr>
          <w:lang w:eastAsia="zh-CN"/>
        </w:rPr>
      </w:pPr>
      <m:oMath>
        <m:r>
          <m:rPr>
            <m:sty m:val="p"/>
          </m:rPr>
          <w:rPr>
            <w:rFonts w:ascii="Cambria Math" w:hAnsi="Cambria Math"/>
            <w:sz w:val="21"/>
          </w:rPr>
          <m:t>logit</m:t>
        </m:r>
        <m:d>
          <m:dPr>
            <m:begChr m:val="["/>
            <m:endChr m:val="]"/>
          </m:dPr>
          <m:e>
            <m:r>
              <w:rPr>
                <w:rFonts w:ascii="Cambria Math" w:hAnsi="Cambria Math"/>
                <w:sz w:val="21"/>
              </w:rPr>
              <m:t>E</m:t>
            </m:r>
            <m:d>
              <m:dPr>
                <m:begChr m:val="("/>
                <m:endChr m:val=")"/>
              </m:dPr>
              <m:e>
                <m:sSub>
                  <m:sSubPr/>
                  <m:e>
                    <m:r>
                      <w:rPr>
                        <w:rFonts w:ascii="Cambria Math" w:hAnsi="Cambria Math"/>
                        <w:sz w:val="21"/>
                      </w:rPr>
                      <m:t>Y</m:t>
                    </m:r>
                  </m:e>
                  <m:sub>
                    <m:r>
                      <w:rPr>
                        <w:rFonts w:ascii="Cambria Math" w:hAnsi="Cambria Math"/>
                        <w:sz w:val="21"/>
                      </w:rPr>
                      <m:t>i</m:t>
                    </m:r>
                  </m:sub>
                </m:sSub>
              </m:e>
            </m:d>
          </m:e>
        </m:d>
        <m:r>
          <w:rPr>
            <w:rFonts w:ascii="Cambria Math" w:hAnsi="Cambria Math"/>
            <w:sz w:val="21"/>
          </w:rPr>
          <m:t xml:space="preserve"> = α + β</m:t>
        </m:r>
        <m:sSub>
          <m:sSubPr/>
          <m:e>
            <m:r>
              <w:rPr>
                <w:rFonts w:ascii="Cambria Math" w:hAnsi="Cambria Math"/>
                <w:sz w:val="21"/>
              </w:rPr>
              <m:t>Male</m:t>
            </m:r>
          </m:e>
          <m:sub>
            <m:r>
              <w:rPr>
                <w:rFonts w:ascii="Cambria Math" w:hAnsi="Cambria Math"/>
                <w:sz w:val="21"/>
              </w:rPr>
              <m:t>i</m:t>
            </m:r>
          </m:sub>
        </m:sSub>
        <m:r>
          <w:rPr>
            <w:rFonts w:ascii="Cambria Math" w:hAnsi="Cambria Math"/>
            <w:sz w:val="21"/>
          </w:rPr>
          <m:t xml:space="preserve"> + γ</m:t>
        </m:r>
        <m:sSub>
          <m:sSubPr/>
          <m:e>
            <m:r>
              <w:rPr>
                <w:rFonts w:ascii="Cambria Math" w:hAnsi="Cambria Math"/>
                <w:sz w:val="21"/>
              </w:rPr>
              <m:t>X</m:t>
            </m:r>
          </m:e>
          <m:sub>
            <m:r>
              <w:rPr>
                <w:rFonts w:ascii="Cambria Math" w:hAnsi="Cambria Math"/>
                <w:sz w:val="21"/>
              </w:rPr>
              <m:t>i</m:t>
            </m:r>
          </m:sub>
        </m:sSub>
        <m:r>
          <w:rPr>
            <w:rFonts w:ascii="Cambria Math" w:hAnsi="Cambria Math"/>
            <w:sz w:val="21"/>
          </w:rPr>
          <m:t xml:space="preserve"> + δ</m:t>
        </m:r>
        <m:sSub>
          <m:sSubPr/>
          <m:e>
            <m:r>
              <w:rPr>
                <w:rFonts w:ascii="Cambria Math" w:hAnsi="Cambria Math"/>
                <w:sz w:val="21"/>
              </w:rPr>
              <m:t>Z</m:t>
            </m:r>
          </m:e>
          <m:sub>
            <m:r>
              <w:rPr>
                <w:rFonts w:ascii="Cambria Math" w:hAnsi="Cambria Math"/>
                <w:sz w:val="21"/>
              </w:rPr>
              <m:t>i</m:t>
            </m:r>
          </m:sub>
        </m:sSub>
      </m:oMath>
      <w:r>
        <w:rPr>
          <w:rFonts w:eastAsia="Songti SC"/>
          <w:color w:val="000000"/>
          <w:lang w:eastAsia="zh-CN"/>
        </w:rPr>
        <w:t xml:space="preserve">　（</w:t>
      </w:r>
      <w:r>
        <w:rPr>
          <w:rFonts w:eastAsia="Songti SC"/>
          <w:color w:val="000000"/>
          <w:lang w:eastAsia="zh-CN"/>
        </w:rPr>
        <w:t>M2</w:t>
      </w:r>
      <w:r>
        <w:rPr>
          <w:rFonts w:eastAsia="Songti SC"/>
          <w:color w:val="000000"/>
          <w:lang w:eastAsia="zh-CN"/>
        </w:rPr>
        <w:t>）</w:t>
      </w:r>
    </w:p>
    <w:p w14:paraId="7B42000E" w14:textId="77777777" w:rsidR="004D6C43" w:rsidRDefault="00000000">
      <w:pPr>
        <w:spacing w:before="120" w:after="240"/>
        <w:jc w:val="both"/>
        <w:rPr>
          <w:lang w:eastAsia="zh-CN"/>
        </w:rPr>
      </w:pPr>
      <m:oMath>
        <m:sSub>
          <m:sSubPr/>
          <m:e>
            <m:r>
              <w:rPr>
                <w:rFonts w:ascii="Cambria Math" w:hAnsi="Cambria Math"/>
                <w:sz w:val="21"/>
              </w:rPr>
              <m:t>Z</m:t>
            </m:r>
          </m:e>
          <m:sub>
            <m:r>
              <w:rPr>
                <w:rFonts w:ascii="Cambria Math" w:hAnsi="Cambria Math"/>
                <w:sz w:val="21"/>
              </w:rPr>
              <m:t>i</m:t>
            </m:r>
          </m:sub>
        </m:sSub>
      </m:oMath>
      <w:r>
        <w:rPr>
          <w:rFonts w:eastAsia="Songti SC" w:ascii="Times New Roman" w:hAnsi="Times New Roman"/>
          <w:color w:val="000000"/>
          <w:lang w:eastAsia="zh-CN"/>
        </w:rPr>
        <w:t>包括认证状态、经</w:t>
      </w:r>
      <m:oMath>
        <m:r>
          <m:rPr>
            <m:sty m:val="p"/>
          </m:rPr>
          <w:rPr>
            <w:rFonts w:ascii="Cambria Math" w:hAnsi="Cambria Math"/>
            <w:sz w:val="21"/>
          </w:rPr>
          <m:t>log</m:t>
        </m:r>
        <m:d>
          <m:dPr>
            <m:begChr m:val="("/>
            <m:endChr m:val=")"/>
          </m:dPr>
          <m:e>
            <m:r>
              <w:rPr>
                <w:rFonts w:ascii="Cambria Math" w:hAnsi="Cambria Math"/>
                <w:sz w:val="21"/>
              </w:rPr>
              <m:t>1 + x</m:t>
            </m:r>
          </m:e>
        </m:d>
      </m:oMath>
      <w:r>
        <w:rPr>
          <w:rFonts w:eastAsia="Songti SC" w:ascii="Times New Roman" w:hAnsi="Times New Roman"/>
          <w:color w:val="000000"/>
          <w:lang w:eastAsia="zh-CN"/>
        </w:rPr>
        <w:t>转换的粉丝数和关注数及地区。M2使用账号资料完整的样本，作为账号资料控制更充分的扩展模型。</w:t>
      </w:r>
    </w:p>
    <w:p w14:paraId="7B420004" w14:textId="77777777" w:rsidR="004D6C43" w:rsidRDefault="00000000">
      <w:pPr>
        <w:spacing w:before="120" w:after="240"/>
        <w:jc w:val="both"/>
        <w:rPr>
          <w:lang w:eastAsia="zh-CN"/>
        </w:rPr>
      </w:pPr>
      <w:r>
        <w:rPr>
          <w:rFonts w:eastAsia="Songti SC" w:ascii="Times New Roman" w:hAnsi="Times New Roman"/>
          <w:color w:val="000000"/>
          <w:lang w:eastAsia="zh-CN"/>
        </w:rPr>
        <w:t>三组模型均使用稳健标准误。为便于比较，结果报告男性账号相对于女性账号的平均边际效应，并转换为平均概率差或平均比例差；正值表示男性账号更高，负值表示女性账号更高。</w:t>
      </w:r>
    </w:p>
    <w:p w14:paraId="7B420005" w14:textId="77777777" w:rsidR="004D6C43" w:rsidRDefault="00000000">
      <w:pPr>
        <w:spacing w:before="120" w:after="240"/>
        <w:jc w:val="both"/>
        <w:rPr>
          <w:lang w:eastAsia="zh-CN"/>
        </w:rPr>
      </w:pPr>
      <w:r>
        <w:rPr>
          <w:rFonts w:eastAsia="Songti SC"/>
          <w:color w:val="000000"/>
          <w:lang w:eastAsia="zh-CN"/>
        </w:rPr>
        <w:t>为直接检验性别差异是否随信息领域改变，本文将每个账号在公共事务和明星文化领域的指标放入同一个模型，并加入性别与领域的交互项。由于同一账号同时提供两个领域的观察，模型采用广义估计方程，并按账号计算聚类标准误。核心比较为：</w:t>
      </w:r>
    </w:p>
    <w:p w14:paraId="7B420006" w14:textId="77777777" w:rsidR="004D6C43" w:rsidRDefault="00000000">
      <w:pPr>
        <w:spacing w:before="120" w:after="240"/>
        <w:jc w:val="center"/>
        <w:rPr>
          <w:lang w:eastAsia="zh-CN"/>
        </w:rPr>
      </w:pPr>
      <w:r>
        <w:rPr>
          <w:rFonts w:eastAsia="Songti SC"/>
          <w:color w:val="000000"/>
          <w:lang w:eastAsia="zh-CN"/>
        </w:rPr>
        <w:t>领域距离</w:t>
      </w:r>
      <w:r>
        <w:rPr>
          <w:rFonts w:eastAsia="Songti SC"/>
          <w:color w:val="000000"/>
          <w:lang w:eastAsia="zh-CN"/>
        </w:rPr>
        <w:t xml:space="preserve"> =</w:t>
      </w:r>
      <w:r>
        <w:rPr>
          <w:rFonts w:eastAsia="Songti SC"/>
          <w:color w:val="000000"/>
          <w:lang w:eastAsia="zh-CN"/>
        </w:rPr>
        <w:t>（公共事务领域的男性账号平均值</w:t>
      </w:r>
      <w:r>
        <w:rPr>
          <w:rFonts w:eastAsia="Songti SC"/>
          <w:color w:val="000000"/>
          <w:lang w:eastAsia="zh-CN"/>
        </w:rPr>
        <w:t xml:space="preserve"> - </w:t>
      </w:r>
      <w:r>
        <w:rPr>
          <w:rFonts w:eastAsia="Songti SC"/>
          <w:color w:val="000000"/>
          <w:lang w:eastAsia="zh-CN"/>
        </w:rPr>
        <w:t>女性账号平均值）</w:t>
      </w:r>
      <w:r>
        <w:rPr>
          <w:rFonts w:eastAsia="Songti SC"/>
          <w:color w:val="000000"/>
          <w:lang w:eastAsia="zh-CN"/>
        </w:rPr>
        <w:t>-</w:t>
      </w:r>
      <w:r>
        <w:rPr>
          <w:rFonts w:eastAsia="Songti SC"/>
          <w:color w:val="000000"/>
          <w:lang w:eastAsia="zh-CN"/>
        </w:rPr>
        <w:t>（明星文化领域的男性账号平均值</w:t>
      </w:r>
      <w:r>
        <w:rPr>
          <w:rFonts w:eastAsia="Songti SC"/>
          <w:color w:val="000000"/>
          <w:lang w:eastAsia="zh-CN"/>
        </w:rPr>
        <w:t xml:space="preserve"> - </w:t>
      </w:r>
      <w:r>
        <w:rPr>
          <w:rFonts w:eastAsia="Songti SC"/>
          <w:color w:val="000000"/>
          <w:lang w:eastAsia="zh-CN"/>
        </w:rPr>
        <w:t>女性账号平均值）</w:t>
      </w:r>
    </w:p>
    <w:p w14:paraId="7B420007" w14:textId="77777777" w:rsidR="004D6C43" w:rsidRDefault="00000000">
      <w:pPr>
        <w:spacing w:before="120" w:after="240"/>
        <w:jc w:val="both"/>
        <w:rPr>
          <w:lang w:eastAsia="zh-CN"/>
        </w:rPr>
      </w:pPr>
      <w:r>
        <w:rPr>
          <w:rFonts w:eastAsia="Songti SC"/>
          <w:color w:val="000000"/>
          <w:lang w:eastAsia="zh-CN"/>
        </w:rPr>
        <w:t>领域距离为正，表示性别差异更偏向公共事务领域；数值越大，两个领域的性别分化越明显。信息消费和内容表达分别估计这一距离，并报告</w:t>
      </w:r>
      <w:r>
        <w:rPr>
          <w:rFonts w:eastAsia="Songti SC"/>
          <w:color w:val="000000"/>
          <w:lang w:eastAsia="zh-CN"/>
        </w:rPr>
        <w:t>95%</w:t>
      </w:r>
      <w:r>
        <w:rPr>
          <w:rFonts w:eastAsia="Songti SC"/>
          <w:color w:val="000000"/>
          <w:lang w:eastAsia="zh-CN"/>
        </w:rPr>
        <w:t>置信区间。领域比较沿用</w:t>
      </w:r>
      <w:r>
        <w:rPr>
          <w:rFonts w:eastAsia="Songti SC"/>
          <w:color w:val="000000"/>
          <w:lang w:eastAsia="zh-CN"/>
        </w:rPr>
        <w:t>M0</w:t>
      </w:r>
      <w:r>
        <w:rPr>
          <w:rFonts w:eastAsia="Songti SC"/>
          <w:color w:val="000000"/>
          <w:lang w:eastAsia="zh-CN"/>
        </w:rPr>
        <w:t>、</w:t>
      </w:r>
      <w:r>
        <w:rPr>
          <w:rFonts w:eastAsia="Songti SC"/>
          <w:color w:val="000000"/>
          <w:lang w:eastAsia="zh-CN"/>
        </w:rPr>
        <w:t>M1</w:t>
      </w:r>
      <w:r>
        <w:rPr>
          <w:rFonts w:eastAsia="Songti SC"/>
          <w:color w:val="000000"/>
          <w:lang w:eastAsia="zh-CN"/>
        </w:rPr>
        <w:t>和</w:t>
      </w:r>
      <w:r>
        <w:rPr>
          <w:rFonts w:eastAsia="Songti SC"/>
          <w:color w:val="000000"/>
          <w:lang w:eastAsia="zh-CN"/>
        </w:rPr>
        <w:t>M2</w:t>
      </w:r>
      <w:r>
        <w:rPr>
          <w:rFonts w:eastAsia="Songti SC"/>
          <w:color w:val="000000"/>
          <w:lang w:eastAsia="zh-CN"/>
        </w:rPr>
        <w:t>的控制变量设定。</w:t>
      </w:r>
    </w:p>
    <w:p w14:paraId="7B420008" w14:textId="77777777" w:rsidR="004D6C43" w:rsidRDefault="00000000">
      <w:pPr>
        <w:spacing w:before="120" w:after="240"/>
        <w:jc w:val="both"/>
        <w:rPr>
          <w:lang w:eastAsia="zh-CN"/>
        </w:rPr>
      </w:pPr>
      <w:r>
        <w:rPr>
          <w:rFonts w:eastAsia="Songti SC"/>
          <w:color w:val="000000"/>
          <w:lang w:eastAsia="zh-CN"/>
        </w:rPr>
        <w:lastRenderedPageBreak/>
        <w:t>在核心分析之外，本文进一步考察三类结果。第一，信息消费与内容表达的组合模型区分</w:t>
      </w:r>
      <w:r>
        <w:rPr>
          <w:rFonts w:eastAsia="Songti SC"/>
          <w:color w:val="000000"/>
          <w:lang w:eastAsia="zh-CN"/>
        </w:rPr>
        <w:t>“</w:t>
      </w:r>
      <w:r>
        <w:rPr>
          <w:rFonts w:eastAsia="Songti SC"/>
          <w:color w:val="000000"/>
          <w:lang w:eastAsia="zh-CN"/>
        </w:rPr>
        <w:t>均未参与</w:t>
      </w:r>
      <w:r>
        <w:rPr>
          <w:rFonts w:eastAsia="Songti SC"/>
          <w:color w:val="000000"/>
          <w:lang w:eastAsia="zh-CN"/>
        </w:rPr>
        <w:t>”“</w:t>
      </w:r>
      <w:r>
        <w:rPr>
          <w:rFonts w:eastAsia="Songti SC"/>
          <w:color w:val="000000"/>
          <w:lang w:eastAsia="zh-CN"/>
        </w:rPr>
        <w:t>仅信息消费</w:t>
      </w:r>
      <w:r>
        <w:rPr>
          <w:rFonts w:eastAsia="Songti SC"/>
          <w:color w:val="000000"/>
          <w:lang w:eastAsia="zh-CN"/>
        </w:rPr>
        <w:t>”“</w:t>
      </w:r>
      <w:r>
        <w:rPr>
          <w:rFonts w:eastAsia="Songti SC"/>
          <w:color w:val="000000"/>
          <w:lang w:eastAsia="zh-CN"/>
        </w:rPr>
        <w:t>仅内容表达</w:t>
      </w:r>
      <w:r>
        <w:rPr>
          <w:rFonts w:eastAsia="Songti SC"/>
          <w:color w:val="000000"/>
          <w:lang w:eastAsia="zh-CN"/>
        </w:rPr>
        <w:t>”</w:t>
      </w:r>
      <w:r>
        <w:rPr>
          <w:rFonts w:eastAsia="Songti SC"/>
          <w:color w:val="000000"/>
          <w:lang w:eastAsia="zh-CN"/>
        </w:rPr>
        <w:t>和</w:t>
      </w:r>
      <w:r>
        <w:rPr>
          <w:rFonts w:eastAsia="Songti SC"/>
          <w:color w:val="000000"/>
          <w:lang w:eastAsia="zh-CN"/>
        </w:rPr>
        <w:t>“</w:t>
      </w:r>
      <w:r>
        <w:rPr>
          <w:rFonts w:eastAsia="Songti SC"/>
          <w:color w:val="000000"/>
          <w:lang w:eastAsia="zh-CN"/>
        </w:rPr>
        <w:t>两者都有</w:t>
      </w:r>
      <w:r>
        <w:rPr>
          <w:rFonts w:eastAsia="Songti SC"/>
          <w:color w:val="000000"/>
          <w:lang w:eastAsia="zh-CN"/>
        </w:rPr>
        <w:t>”</w:t>
      </w:r>
      <w:r>
        <w:rPr>
          <w:rFonts w:eastAsia="Songti SC"/>
          <w:color w:val="000000"/>
          <w:lang w:eastAsia="zh-CN"/>
        </w:rPr>
        <w:t>；第二，跨领域组合模型区分</w:t>
      </w:r>
      <w:r>
        <w:rPr>
          <w:rFonts w:eastAsia="Songti SC"/>
          <w:color w:val="000000"/>
          <w:lang w:eastAsia="zh-CN"/>
        </w:rPr>
        <w:t>“</w:t>
      </w:r>
      <w:r>
        <w:rPr>
          <w:rFonts w:eastAsia="Songti SC"/>
          <w:color w:val="000000"/>
          <w:lang w:eastAsia="zh-CN"/>
        </w:rPr>
        <w:t>两个领域均未参与</w:t>
      </w:r>
      <w:r>
        <w:rPr>
          <w:rFonts w:eastAsia="Songti SC"/>
          <w:color w:val="000000"/>
          <w:lang w:eastAsia="zh-CN"/>
        </w:rPr>
        <w:t>”“</w:t>
      </w:r>
      <w:r>
        <w:rPr>
          <w:rFonts w:eastAsia="Songti SC"/>
          <w:color w:val="000000"/>
          <w:lang w:eastAsia="zh-CN"/>
        </w:rPr>
        <w:t>仅参与公共事务</w:t>
      </w:r>
      <w:r>
        <w:rPr>
          <w:rFonts w:eastAsia="Songti SC"/>
          <w:color w:val="000000"/>
          <w:lang w:eastAsia="zh-CN"/>
        </w:rPr>
        <w:t>”“</w:t>
      </w:r>
      <w:r>
        <w:rPr>
          <w:rFonts w:eastAsia="Songti SC"/>
          <w:color w:val="000000"/>
          <w:lang w:eastAsia="zh-CN"/>
        </w:rPr>
        <w:t>仅参与明星文化</w:t>
      </w:r>
      <w:r>
        <w:rPr>
          <w:rFonts w:eastAsia="Songti SC"/>
          <w:color w:val="000000"/>
          <w:lang w:eastAsia="zh-CN"/>
        </w:rPr>
        <w:t>”</w:t>
      </w:r>
      <w:r>
        <w:rPr>
          <w:rFonts w:eastAsia="Songti SC"/>
          <w:color w:val="000000"/>
          <w:lang w:eastAsia="zh-CN"/>
        </w:rPr>
        <w:t>和</w:t>
      </w:r>
      <w:r>
        <w:rPr>
          <w:rFonts w:eastAsia="Songti SC"/>
          <w:color w:val="000000"/>
          <w:lang w:eastAsia="zh-CN"/>
        </w:rPr>
        <w:t>“</w:t>
      </w:r>
      <w:r>
        <w:rPr>
          <w:rFonts w:eastAsia="Songti SC"/>
          <w:color w:val="000000"/>
          <w:lang w:eastAsia="zh-CN"/>
        </w:rPr>
        <w:t>两个领域都参与</w:t>
      </w:r>
      <w:r>
        <w:rPr>
          <w:rFonts w:eastAsia="Songti SC"/>
          <w:color w:val="000000"/>
          <w:lang w:eastAsia="zh-CN"/>
        </w:rPr>
        <w:t>”</w:t>
      </w:r>
      <w:r>
        <w:rPr>
          <w:rFonts w:eastAsia="Songti SC"/>
          <w:color w:val="000000"/>
          <w:lang w:eastAsia="zh-CN"/>
        </w:rPr>
        <w:t>；第三，月份模型、参与月份比例和转发延迟用于观察时间结构。</w:t>
      </w:r>
    </w:p>
    <w:p w14:paraId="70C39613" w14:textId="77777777" w:rsidR="004D6C43" w:rsidRDefault="00000000">
      <w:pPr>
        <w:pStyle w:val="1"/>
        <w:spacing w:before="120" w:after="240"/>
        <w:rPr>
          <w:lang w:eastAsia="zh-CN"/>
        </w:rPr>
      </w:pPr>
      <w:r>
        <w:rPr>
          <w:rFonts w:ascii="Times New Roman" w:eastAsia="Heiti SC" w:hAnsi="Times New Roman"/>
          <w:lang w:eastAsia="zh-CN"/>
        </w:rPr>
        <w:t>四、研究结果</w:t>
      </w:r>
    </w:p>
    <w:p w14:paraId="1A6139BC" w14:textId="77777777" w:rsidR="004D6C43" w:rsidRDefault="00000000">
      <w:pPr>
        <w:pStyle w:val="21"/>
        <w:spacing w:before="120" w:after="240"/>
        <w:rPr>
          <w:lang w:eastAsia="zh-CN"/>
        </w:rPr>
      </w:pPr>
      <w:r>
        <w:rPr>
          <w:rFonts w:ascii="Times New Roman" w:eastAsia="Heiti SC" w:hAnsi="Times New Roman"/>
          <w:lang w:eastAsia="zh-CN"/>
        </w:rPr>
        <w:t>（一）两个领域呈现方向相反的性别差异</w:t>
      </w:r>
    </w:p>
    <w:p w14:paraId="1EF0AB41" w14:textId="77777777" w:rsidR="004D6C43" w:rsidRDefault="00000000">
      <w:pPr>
        <w:spacing w:before="120" w:after="240"/>
        <w:jc w:val="both"/>
        <w:rPr>
          <w:lang w:eastAsia="zh-CN"/>
        </w:rPr>
      </w:pPr>
      <w:r>
        <w:rPr>
          <w:rFonts w:eastAsia="Songti SC"/>
          <w:color w:val="000000"/>
          <w:lang w:eastAsia="zh-CN"/>
        </w:rPr>
        <w:t>表</w:t>
      </w:r>
      <w:r>
        <w:rPr>
          <w:rFonts w:eastAsia="Songti SC"/>
          <w:color w:val="000000"/>
          <w:lang w:eastAsia="zh-CN"/>
        </w:rPr>
        <w:t>1</w:t>
      </w:r>
      <w:r>
        <w:rPr>
          <w:rFonts w:eastAsia="Songti SC"/>
          <w:color w:val="000000"/>
          <w:lang w:eastAsia="zh-CN"/>
        </w:rPr>
        <w:t>先描述全样本的账号数量和总体活动。女性账号数量约为男性账号的</w:t>
      </w:r>
      <w:r>
        <w:rPr>
          <w:rFonts w:eastAsia="Songti SC"/>
          <w:color w:val="000000"/>
          <w:lang w:eastAsia="zh-CN"/>
        </w:rPr>
        <w:t>3.35</w:t>
      </w:r>
      <w:r>
        <w:rPr>
          <w:rFonts w:eastAsia="Songti SC"/>
          <w:color w:val="000000"/>
          <w:lang w:eastAsia="zh-CN"/>
        </w:rPr>
        <w:t>倍。男性账号的平均发帖数略高，女性账号的平均转发数和活跃月份略高；两组分布都具有明显长尾。男女账号在总体使用频率上的差异说明，直接比较原始比例与比较平台使用程度相近的账号回答的是不同问题，二者需要同时报告。</w:t>
      </w:r>
    </w:p>
    <w:p w14:paraId="11E69ACF" w14:textId="77777777" w:rsidR="004D6C43" w:rsidRDefault="00000000">
      <w:pPr>
        <w:keepNext/>
        <w:spacing w:before="120" w:after="240"/>
        <w:jc w:val="center"/>
      </w:pPr>
      <w:r>
        <w:rPr>
          <w:rFonts w:eastAsia="Songti SC"/>
          <w:b/>
          <w:color w:val="000000"/>
        </w:rPr>
        <w:t>表</w:t>
      </w:r>
      <w:r>
        <w:rPr>
          <w:rFonts w:eastAsia="Songti SC"/>
          <w:b/>
          <w:color w:val="000000"/>
        </w:rPr>
        <w:t xml:space="preserve">1 </w:t>
      </w:r>
      <w:r>
        <w:rPr>
          <w:rFonts w:eastAsia="Songti SC"/>
          <w:b/>
          <w:color w:val="000000"/>
        </w:rPr>
        <w:t>样本与账号活动描述</w:t>
      </w:r>
    </w:p>
    <w:tbl>
      <w:tblPr>
        <w:tblW w:w="9273" w:type="dxa"/>
        <w:jc w:val="center"/>
        <w:tblLayout w:type="fixed"/>
        <w:tblLook w:val="04A0" w:firstRow="1" w:lastRow="0" w:firstColumn="1" w:lastColumn="0" w:noHBand="0" w:noVBand="1"/>
      </w:tblPr>
      <w:tblGrid>
        <w:gridCol w:w="1441"/>
        <w:gridCol w:w="1037"/>
        <w:gridCol w:w="1095"/>
        <w:gridCol w:w="1094"/>
        <w:gridCol w:w="1094"/>
        <w:gridCol w:w="1094"/>
        <w:gridCol w:w="1209"/>
        <w:gridCol w:w="1209"/>
      </w:tblGrid>
      <w:tr w:rsidR="004D6C43" w14:paraId="2BD749FC" w14:textId="77777777">
        <w:trPr>
          <w:cantSplit/>
          <w:tblHeader/>
          <w:jc w:val="center"/>
        </w:trPr>
        <w:tc>
          <w:tcPr>
            <w:tcW w:w="1440" w:type="dxa"/>
            <w:tcBorders>
              <w:top w:val="single" w:sz="12" w:space="0" w:color="000000"/>
              <w:left w:val="nil"/>
              <w:bottom w:val="single" w:sz="6" w:space="0" w:color="000000"/>
              <w:right w:val="nil"/>
            </w:tcBorders>
            <w:tcMar>
              <w:top w:w="80" w:type="dxa"/>
              <w:left w:w="90" w:type="dxa"/>
              <w:bottom w:w="80" w:type="dxa"/>
              <w:right w:w="90" w:type="dxa"/>
            </w:tcMar>
            <w:vAlign w:val="center"/>
          </w:tcPr>
          <w:p w14:paraId="56CDA188" w14:textId="77777777" w:rsidR="004D6C43" w:rsidRDefault="00000000">
            <w:pPr>
              <w:keepNext/>
              <w:keepLines/>
              <w:spacing w:before="120" w:after="240" w:line="252" w:lineRule="auto"/>
              <w:ind w:firstLine="0"/>
            </w:pPr>
            <w:r>
              <w:rPr>
                <w:rFonts w:eastAsia="Songti SC"/>
                <w:b/>
                <w:color w:val="000000"/>
              </w:rPr>
              <w:t>性别</w:t>
            </w:r>
          </w:p>
        </w:tc>
        <w:tc>
          <w:tcPr>
            <w:tcW w:w="1036" w:type="dxa"/>
            <w:tcBorders>
              <w:top w:val="single" w:sz="12" w:space="0" w:color="000000"/>
              <w:left w:val="nil"/>
              <w:bottom w:val="single" w:sz="6" w:space="0" w:color="000000"/>
              <w:right w:val="nil"/>
            </w:tcBorders>
            <w:tcMar>
              <w:top w:w="80" w:type="dxa"/>
              <w:left w:w="90" w:type="dxa"/>
              <w:bottom w:w="80" w:type="dxa"/>
              <w:right w:w="90" w:type="dxa"/>
            </w:tcMar>
            <w:vAlign w:val="center"/>
          </w:tcPr>
          <w:p w14:paraId="29BAD04D" w14:textId="77777777" w:rsidR="004D6C43" w:rsidRDefault="00000000">
            <w:pPr>
              <w:keepNext/>
              <w:keepLines/>
              <w:spacing w:before="120" w:after="240" w:line="252" w:lineRule="auto"/>
              <w:ind w:firstLine="0"/>
              <w:jc w:val="center"/>
            </w:pPr>
            <w:r>
              <w:rPr>
                <w:rFonts w:eastAsia="Songti SC"/>
                <w:b/>
                <w:color w:val="000000"/>
              </w:rPr>
              <w:t>账号数</w:t>
            </w:r>
          </w:p>
        </w:tc>
        <w:tc>
          <w:tcPr>
            <w:tcW w:w="1094" w:type="dxa"/>
            <w:tcBorders>
              <w:top w:val="single" w:sz="12" w:space="0" w:color="000000"/>
              <w:left w:val="nil"/>
              <w:bottom w:val="single" w:sz="6" w:space="0" w:color="000000"/>
              <w:right w:val="nil"/>
            </w:tcBorders>
            <w:tcMar>
              <w:top w:w="80" w:type="dxa"/>
              <w:left w:w="90" w:type="dxa"/>
              <w:bottom w:w="80" w:type="dxa"/>
              <w:right w:w="90" w:type="dxa"/>
            </w:tcMar>
            <w:vAlign w:val="center"/>
          </w:tcPr>
          <w:p w14:paraId="7ED5D10B" w14:textId="77777777" w:rsidR="004D6C43" w:rsidRDefault="00000000">
            <w:pPr>
              <w:keepNext/>
              <w:keepLines/>
              <w:spacing w:before="120" w:after="240" w:line="252" w:lineRule="auto"/>
              <w:ind w:firstLine="0"/>
              <w:jc w:val="center"/>
            </w:pPr>
            <w:r>
              <w:rPr>
                <w:rFonts w:eastAsia="Songti SC"/>
                <w:b/>
                <w:color w:val="000000"/>
              </w:rPr>
              <w:t>平均发帖数</w:t>
            </w:r>
          </w:p>
        </w:tc>
        <w:tc>
          <w:tcPr>
            <w:tcW w:w="1094" w:type="dxa"/>
            <w:tcBorders>
              <w:top w:val="single" w:sz="12" w:space="0" w:color="000000"/>
              <w:left w:val="nil"/>
              <w:bottom w:val="single" w:sz="6" w:space="0" w:color="000000"/>
              <w:right w:val="nil"/>
            </w:tcBorders>
            <w:tcMar>
              <w:top w:w="80" w:type="dxa"/>
              <w:left w:w="90" w:type="dxa"/>
              <w:bottom w:w="80" w:type="dxa"/>
              <w:right w:w="90" w:type="dxa"/>
            </w:tcMar>
            <w:vAlign w:val="center"/>
          </w:tcPr>
          <w:p w14:paraId="6BC1803D" w14:textId="77777777" w:rsidR="004D6C43" w:rsidRDefault="00000000">
            <w:pPr>
              <w:keepNext/>
              <w:keepLines/>
              <w:spacing w:before="120" w:after="240" w:line="252" w:lineRule="auto"/>
              <w:ind w:firstLine="0"/>
              <w:jc w:val="center"/>
            </w:pPr>
            <w:r>
              <w:rPr>
                <w:rFonts w:eastAsia="Songti SC"/>
                <w:b/>
                <w:color w:val="000000"/>
              </w:rPr>
              <w:t>发帖数中位数</w:t>
            </w:r>
          </w:p>
        </w:tc>
        <w:tc>
          <w:tcPr>
            <w:tcW w:w="1094" w:type="dxa"/>
            <w:tcBorders>
              <w:top w:val="single" w:sz="12" w:space="0" w:color="000000"/>
              <w:left w:val="nil"/>
              <w:bottom w:val="single" w:sz="6" w:space="0" w:color="000000"/>
              <w:right w:val="nil"/>
            </w:tcBorders>
            <w:tcMar>
              <w:top w:w="80" w:type="dxa"/>
              <w:left w:w="90" w:type="dxa"/>
              <w:bottom w:w="80" w:type="dxa"/>
              <w:right w:w="90" w:type="dxa"/>
            </w:tcMar>
            <w:vAlign w:val="center"/>
          </w:tcPr>
          <w:p w14:paraId="79619DEA" w14:textId="77777777" w:rsidR="004D6C43" w:rsidRDefault="00000000">
            <w:pPr>
              <w:keepNext/>
              <w:keepLines/>
              <w:spacing w:before="120" w:after="240" w:line="252" w:lineRule="auto"/>
              <w:ind w:firstLine="0"/>
              <w:jc w:val="center"/>
            </w:pPr>
            <w:r>
              <w:rPr>
                <w:rFonts w:eastAsia="Songti SC"/>
                <w:b/>
                <w:color w:val="000000"/>
              </w:rPr>
              <w:t>平均转发数</w:t>
            </w:r>
          </w:p>
        </w:tc>
        <w:tc>
          <w:tcPr>
            <w:tcW w:w="1094" w:type="dxa"/>
            <w:tcBorders>
              <w:top w:val="single" w:sz="12" w:space="0" w:color="000000"/>
              <w:left w:val="nil"/>
              <w:bottom w:val="single" w:sz="6" w:space="0" w:color="000000"/>
              <w:right w:val="nil"/>
            </w:tcBorders>
            <w:tcMar>
              <w:top w:w="80" w:type="dxa"/>
              <w:left w:w="90" w:type="dxa"/>
              <w:bottom w:w="80" w:type="dxa"/>
              <w:right w:w="90" w:type="dxa"/>
            </w:tcMar>
            <w:vAlign w:val="center"/>
          </w:tcPr>
          <w:p w14:paraId="30F420A8" w14:textId="77777777" w:rsidR="004D6C43" w:rsidRDefault="00000000">
            <w:pPr>
              <w:keepNext/>
              <w:keepLines/>
              <w:spacing w:before="120" w:after="240" w:line="252" w:lineRule="auto"/>
              <w:ind w:firstLine="0"/>
              <w:jc w:val="center"/>
            </w:pPr>
            <w:r>
              <w:rPr>
                <w:rFonts w:eastAsia="Songti SC"/>
                <w:b/>
                <w:color w:val="000000"/>
              </w:rPr>
              <w:t>转发数中位数</w:t>
            </w:r>
          </w:p>
        </w:tc>
        <w:tc>
          <w:tcPr>
            <w:tcW w:w="1209" w:type="dxa"/>
            <w:tcBorders>
              <w:top w:val="single" w:sz="12" w:space="0" w:color="000000"/>
              <w:left w:val="nil"/>
              <w:bottom w:val="single" w:sz="6" w:space="0" w:color="000000"/>
              <w:right w:val="nil"/>
            </w:tcBorders>
            <w:tcMar>
              <w:top w:w="80" w:type="dxa"/>
              <w:left w:w="90" w:type="dxa"/>
              <w:bottom w:w="80" w:type="dxa"/>
              <w:right w:w="90" w:type="dxa"/>
            </w:tcMar>
            <w:vAlign w:val="center"/>
          </w:tcPr>
          <w:p w14:paraId="2095903F" w14:textId="77777777" w:rsidR="004D6C43" w:rsidRDefault="00000000">
            <w:pPr>
              <w:keepNext/>
              <w:keepLines/>
              <w:spacing w:before="120" w:after="240" w:line="252" w:lineRule="auto"/>
              <w:ind w:firstLine="0"/>
              <w:jc w:val="center"/>
            </w:pPr>
            <w:r>
              <w:rPr>
                <w:rFonts w:eastAsia="Songti SC"/>
                <w:b/>
                <w:color w:val="000000"/>
              </w:rPr>
              <w:t>平均活跃天数</w:t>
            </w:r>
          </w:p>
        </w:tc>
        <w:tc>
          <w:tcPr>
            <w:tcW w:w="1209" w:type="dxa"/>
            <w:tcBorders>
              <w:top w:val="single" w:sz="12" w:space="0" w:color="000000"/>
              <w:left w:val="nil"/>
              <w:bottom w:val="single" w:sz="6" w:space="0" w:color="000000"/>
              <w:right w:val="nil"/>
            </w:tcBorders>
            <w:tcMar>
              <w:top w:w="80" w:type="dxa"/>
              <w:left w:w="90" w:type="dxa"/>
              <w:bottom w:w="80" w:type="dxa"/>
              <w:right w:w="90" w:type="dxa"/>
            </w:tcMar>
            <w:vAlign w:val="center"/>
          </w:tcPr>
          <w:p w14:paraId="24CB71BE" w14:textId="77777777" w:rsidR="004D6C43" w:rsidRDefault="00000000">
            <w:pPr>
              <w:keepNext/>
              <w:keepLines/>
              <w:spacing w:before="120" w:after="240" w:line="252" w:lineRule="auto"/>
              <w:ind w:firstLine="0"/>
              <w:jc w:val="center"/>
            </w:pPr>
            <w:r>
              <w:rPr>
                <w:rFonts w:eastAsia="Songti SC"/>
                <w:b/>
                <w:color w:val="000000"/>
              </w:rPr>
              <w:t>平均活跃月份</w:t>
            </w:r>
          </w:p>
        </w:tc>
      </w:tr>
      <w:tr w:rsidR="004D6C43" w14:paraId="44D4C0CB" w14:textId="77777777">
        <w:trPr>
          <w:cantSplit/>
          <w:jc w:val="center"/>
        </w:trPr>
        <w:tc>
          <w:tcPr>
            <w:tcW w:w="1440" w:type="dxa"/>
            <w:tcBorders>
              <w:top w:val="nil"/>
              <w:left w:val="nil"/>
              <w:bottom w:val="nil"/>
              <w:right w:val="nil"/>
            </w:tcBorders>
            <w:tcMar>
              <w:top w:w="80" w:type="dxa"/>
              <w:left w:w="90" w:type="dxa"/>
              <w:bottom w:w="80" w:type="dxa"/>
              <w:right w:w="90" w:type="dxa"/>
            </w:tcMar>
            <w:vAlign w:val="center"/>
          </w:tcPr>
          <w:p w14:paraId="7D3E18B7" w14:textId="77777777" w:rsidR="004D6C43" w:rsidRDefault="00000000">
            <w:pPr>
              <w:keepNext/>
              <w:keepLines/>
              <w:spacing w:before="120" w:after="240" w:line="252" w:lineRule="auto"/>
              <w:ind w:firstLine="0"/>
            </w:pPr>
            <w:r>
              <w:rPr>
                <w:rFonts w:eastAsia="Songti SC"/>
                <w:color w:val="000000"/>
              </w:rPr>
              <w:t>男性</w:t>
            </w:r>
          </w:p>
        </w:tc>
        <w:tc>
          <w:tcPr>
            <w:tcW w:w="1036" w:type="dxa"/>
            <w:tcBorders>
              <w:top w:val="nil"/>
              <w:left w:val="nil"/>
              <w:bottom w:val="nil"/>
              <w:right w:val="nil"/>
            </w:tcBorders>
            <w:tcMar>
              <w:top w:w="80" w:type="dxa"/>
              <w:left w:w="90" w:type="dxa"/>
              <w:bottom w:w="80" w:type="dxa"/>
              <w:right w:w="90" w:type="dxa"/>
            </w:tcMar>
            <w:vAlign w:val="center"/>
          </w:tcPr>
          <w:p w14:paraId="52473252" w14:textId="77777777" w:rsidR="004D6C43" w:rsidRDefault="00000000">
            <w:pPr>
              <w:keepNext/>
              <w:keepLines/>
              <w:spacing w:before="120" w:after="240" w:line="252" w:lineRule="auto"/>
              <w:ind w:firstLine="0"/>
              <w:jc w:val="center"/>
            </w:pPr>
            <w:r>
              <w:rPr>
                <w:rFonts w:eastAsia="Songti SC"/>
                <w:color w:val="000000"/>
              </w:rPr>
              <w:t>51,836</w:t>
            </w:r>
          </w:p>
        </w:tc>
        <w:tc>
          <w:tcPr>
            <w:tcW w:w="1094" w:type="dxa"/>
            <w:tcBorders>
              <w:top w:val="nil"/>
              <w:left w:val="nil"/>
              <w:bottom w:val="nil"/>
              <w:right w:val="nil"/>
            </w:tcBorders>
            <w:tcMar>
              <w:top w:w="80" w:type="dxa"/>
              <w:left w:w="90" w:type="dxa"/>
              <w:bottom w:w="80" w:type="dxa"/>
              <w:right w:w="90" w:type="dxa"/>
            </w:tcMar>
            <w:vAlign w:val="center"/>
          </w:tcPr>
          <w:p w14:paraId="106247C9" w14:textId="77777777" w:rsidR="004D6C43" w:rsidRDefault="00000000">
            <w:pPr>
              <w:keepNext/>
              <w:keepLines/>
              <w:spacing w:before="120" w:after="240" w:line="252" w:lineRule="auto"/>
              <w:ind w:firstLine="0"/>
              <w:jc w:val="center"/>
            </w:pPr>
            <w:r>
              <w:rPr>
                <w:rFonts w:eastAsia="Songti SC"/>
                <w:color w:val="000000"/>
              </w:rPr>
              <w:t>698.95</w:t>
            </w:r>
          </w:p>
        </w:tc>
        <w:tc>
          <w:tcPr>
            <w:tcW w:w="1094" w:type="dxa"/>
            <w:tcBorders>
              <w:top w:val="nil"/>
              <w:left w:val="nil"/>
              <w:bottom w:val="nil"/>
              <w:right w:val="nil"/>
            </w:tcBorders>
            <w:tcMar>
              <w:top w:w="80" w:type="dxa"/>
              <w:left w:w="90" w:type="dxa"/>
              <w:bottom w:w="80" w:type="dxa"/>
              <w:right w:w="90" w:type="dxa"/>
            </w:tcMar>
            <w:vAlign w:val="center"/>
          </w:tcPr>
          <w:p w14:paraId="2568B540" w14:textId="77777777" w:rsidR="004D6C43" w:rsidRDefault="00000000">
            <w:pPr>
              <w:keepNext/>
              <w:keepLines/>
              <w:spacing w:before="120" w:after="240" w:line="252" w:lineRule="auto"/>
              <w:ind w:firstLine="0"/>
              <w:jc w:val="center"/>
            </w:pPr>
            <w:r>
              <w:rPr>
                <w:rFonts w:eastAsia="Songti SC"/>
                <w:color w:val="000000"/>
              </w:rPr>
              <w:t>196</w:t>
            </w:r>
          </w:p>
        </w:tc>
        <w:tc>
          <w:tcPr>
            <w:tcW w:w="1094" w:type="dxa"/>
            <w:tcBorders>
              <w:top w:val="nil"/>
              <w:left w:val="nil"/>
              <w:bottom w:val="nil"/>
              <w:right w:val="nil"/>
            </w:tcBorders>
            <w:tcMar>
              <w:top w:w="80" w:type="dxa"/>
              <w:left w:w="90" w:type="dxa"/>
              <w:bottom w:w="80" w:type="dxa"/>
              <w:right w:w="90" w:type="dxa"/>
            </w:tcMar>
            <w:vAlign w:val="center"/>
          </w:tcPr>
          <w:p w14:paraId="3CFE19D0" w14:textId="77777777" w:rsidR="004D6C43" w:rsidRDefault="00000000">
            <w:pPr>
              <w:keepNext/>
              <w:keepLines/>
              <w:spacing w:before="120" w:after="240" w:line="252" w:lineRule="auto"/>
              <w:ind w:firstLine="0"/>
              <w:jc w:val="center"/>
            </w:pPr>
            <w:r>
              <w:rPr>
                <w:rFonts w:eastAsia="Songti SC"/>
                <w:color w:val="000000"/>
              </w:rPr>
              <w:t>400.50</w:t>
            </w:r>
          </w:p>
        </w:tc>
        <w:tc>
          <w:tcPr>
            <w:tcW w:w="1094" w:type="dxa"/>
            <w:tcBorders>
              <w:top w:val="nil"/>
              <w:left w:val="nil"/>
              <w:bottom w:val="nil"/>
              <w:right w:val="nil"/>
            </w:tcBorders>
            <w:tcMar>
              <w:top w:w="80" w:type="dxa"/>
              <w:left w:w="90" w:type="dxa"/>
              <w:bottom w:w="80" w:type="dxa"/>
              <w:right w:w="90" w:type="dxa"/>
            </w:tcMar>
            <w:vAlign w:val="center"/>
          </w:tcPr>
          <w:p w14:paraId="7B3117ED" w14:textId="77777777" w:rsidR="004D6C43" w:rsidRDefault="00000000">
            <w:pPr>
              <w:keepNext/>
              <w:keepLines/>
              <w:spacing w:before="120" w:after="240" w:line="252" w:lineRule="auto"/>
              <w:ind w:firstLine="0"/>
              <w:jc w:val="center"/>
            </w:pPr>
            <w:r>
              <w:rPr>
                <w:rFonts w:eastAsia="Songti SC"/>
                <w:color w:val="000000"/>
              </w:rPr>
              <w:t>72</w:t>
            </w:r>
          </w:p>
        </w:tc>
        <w:tc>
          <w:tcPr>
            <w:tcW w:w="1209" w:type="dxa"/>
            <w:tcBorders>
              <w:top w:val="nil"/>
              <w:left w:val="nil"/>
              <w:bottom w:val="nil"/>
              <w:right w:val="nil"/>
            </w:tcBorders>
            <w:tcMar>
              <w:top w:w="80" w:type="dxa"/>
              <w:left w:w="90" w:type="dxa"/>
              <w:bottom w:w="80" w:type="dxa"/>
              <w:right w:w="90" w:type="dxa"/>
            </w:tcMar>
            <w:vAlign w:val="center"/>
          </w:tcPr>
          <w:p w14:paraId="256FD75C" w14:textId="77777777" w:rsidR="004D6C43" w:rsidRDefault="00000000">
            <w:pPr>
              <w:keepNext/>
              <w:keepLines/>
              <w:spacing w:before="120" w:after="240" w:line="252" w:lineRule="auto"/>
              <w:ind w:firstLine="0"/>
              <w:jc w:val="center"/>
            </w:pPr>
            <w:r>
              <w:rPr>
                <w:rFonts w:eastAsia="Songti SC"/>
                <w:color w:val="000000"/>
              </w:rPr>
              <w:t>118.37</w:t>
            </w:r>
          </w:p>
        </w:tc>
        <w:tc>
          <w:tcPr>
            <w:tcW w:w="1209" w:type="dxa"/>
            <w:tcBorders>
              <w:top w:val="nil"/>
              <w:left w:val="nil"/>
              <w:bottom w:val="nil"/>
              <w:right w:val="nil"/>
            </w:tcBorders>
            <w:tcMar>
              <w:top w:w="80" w:type="dxa"/>
              <w:left w:w="90" w:type="dxa"/>
              <w:bottom w:w="80" w:type="dxa"/>
              <w:right w:w="90" w:type="dxa"/>
            </w:tcMar>
            <w:vAlign w:val="center"/>
          </w:tcPr>
          <w:p w14:paraId="4EA5AC6D" w14:textId="77777777" w:rsidR="004D6C43" w:rsidRDefault="00000000">
            <w:pPr>
              <w:keepNext/>
              <w:keepLines/>
              <w:spacing w:before="120" w:after="240" w:line="252" w:lineRule="auto"/>
              <w:ind w:firstLine="0"/>
              <w:jc w:val="center"/>
            </w:pPr>
            <w:r>
              <w:rPr>
                <w:rFonts w:eastAsia="Songti SC"/>
                <w:color w:val="000000"/>
              </w:rPr>
              <w:t>9.21</w:t>
            </w:r>
          </w:p>
        </w:tc>
      </w:tr>
      <w:tr w:rsidR="004D6C43" w14:paraId="5D432DDB" w14:textId="77777777">
        <w:trPr>
          <w:cantSplit/>
          <w:jc w:val="center"/>
        </w:trPr>
        <w:tc>
          <w:tcPr>
            <w:tcW w:w="1440" w:type="dxa"/>
            <w:tcBorders>
              <w:left w:val="nil"/>
              <w:bottom w:val="single" w:sz="12" w:space="0" w:color="000000"/>
              <w:right w:val="nil"/>
            </w:tcBorders>
            <w:tcMar>
              <w:top w:w="80" w:type="dxa"/>
              <w:left w:w="90" w:type="dxa"/>
              <w:bottom w:w="80" w:type="dxa"/>
              <w:right w:w="90" w:type="dxa"/>
            </w:tcMar>
            <w:vAlign w:val="center"/>
          </w:tcPr>
          <w:p w14:paraId="30F4F481" w14:textId="77777777" w:rsidR="004D6C43" w:rsidRDefault="00000000">
            <w:pPr>
              <w:keepLines/>
              <w:spacing w:before="120" w:after="240" w:line="252" w:lineRule="auto"/>
              <w:ind w:firstLine="0"/>
            </w:pPr>
            <w:r>
              <w:rPr>
                <w:rFonts w:eastAsia="Songti SC"/>
                <w:color w:val="000000"/>
              </w:rPr>
              <w:t>女性</w:t>
            </w:r>
          </w:p>
        </w:tc>
        <w:tc>
          <w:tcPr>
            <w:tcW w:w="1036" w:type="dxa"/>
            <w:tcBorders>
              <w:left w:val="nil"/>
              <w:bottom w:val="single" w:sz="12" w:space="0" w:color="000000"/>
              <w:right w:val="nil"/>
            </w:tcBorders>
            <w:tcMar>
              <w:top w:w="80" w:type="dxa"/>
              <w:left w:w="90" w:type="dxa"/>
              <w:bottom w:w="80" w:type="dxa"/>
              <w:right w:w="90" w:type="dxa"/>
            </w:tcMar>
            <w:vAlign w:val="center"/>
          </w:tcPr>
          <w:p w14:paraId="4054BAA7" w14:textId="77777777" w:rsidR="004D6C43" w:rsidRDefault="00000000">
            <w:pPr>
              <w:keepLines/>
              <w:spacing w:before="120" w:after="240" w:line="252" w:lineRule="auto"/>
              <w:ind w:firstLine="0"/>
              <w:jc w:val="center"/>
            </w:pPr>
            <w:r>
              <w:rPr>
                <w:rFonts w:eastAsia="Songti SC"/>
                <w:color w:val="000000"/>
              </w:rPr>
              <w:t>173,503</w:t>
            </w:r>
          </w:p>
        </w:tc>
        <w:tc>
          <w:tcPr>
            <w:tcW w:w="1094" w:type="dxa"/>
            <w:tcBorders>
              <w:left w:val="nil"/>
              <w:bottom w:val="single" w:sz="12" w:space="0" w:color="000000"/>
              <w:right w:val="nil"/>
            </w:tcBorders>
            <w:tcMar>
              <w:top w:w="80" w:type="dxa"/>
              <w:left w:w="90" w:type="dxa"/>
              <w:bottom w:w="80" w:type="dxa"/>
              <w:right w:w="90" w:type="dxa"/>
            </w:tcMar>
            <w:vAlign w:val="center"/>
          </w:tcPr>
          <w:p w14:paraId="0D895E94" w14:textId="77777777" w:rsidR="004D6C43" w:rsidRDefault="00000000">
            <w:pPr>
              <w:keepLines/>
              <w:spacing w:before="120" w:after="240" w:line="252" w:lineRule="auto"/>
              <w:ind w:firstLine="0"/>
              <w:jc w:val="center"/>
            </w:pPr>
            <w:r>
              <w:rPr>
                <w:rFonts w:eastAsia="Songti SC"/>
                <w:color w:val="000000"/>
              </w:rPr>
              <w:t>637.34</w:t>
            </w:r>
          </w:p>
        </w:tc>
        <w:tc>
          <w:tcPr>
            <w:tcW w:w="1094" w:type="dxa"/>
            <w:tcBorders>
              <w:left w:val="nil"/>
              <w:bottom w:val="single" w:sz="12" w:space="0" w:color="000000"/>
              <w:right w:val="nil"/>
            </w:tcBorders>
            <w:tcMar>
              <w:top w:w="80" w:type="dxa"/>
              <w:left w:w="90" w:type="dxa"/>
              <w:bottom w:w="80" w:type="dxa"/>
              <w:right w:w="90" w:type="dxa"/>
            </w:tcMar>
            <w:vAlign w:val="center"/>
          </w:tcPr>
          <w:p w14:paraId="69FE194C" w14:textId="77777777" w:rsidR="004D6C43" w:rsidRDefault="00000000">
            <w:pPr>
              <w:keepLines/>
              <w:spacing w:before="120" w:after="240" w:line="252" w:lineRule="auto"/>
              <w:ind w:firstLine="0"/>
              <w:jc w:val="center"/>
            </w:pPr>
            <w:r>
              <w:rPr>
                <w:rFonts w:eastAsia="Songti SC"/>
                <w:color w:val="000000"/>
              </w:rPr>
              <w:t>209</w:t>
            </w:r>
          </w:p>
        </w:tc>
        <w:tc>
          <w:tcPr>
            <w:tcW w:w="1094" w:type="dxa"/>
            <w:tcBorders>
              <w:left w:val="nil"/>
              <w:bottom w:val="single" w:sz="12" w:space="0" w:color="000000"/>
              <w:right w:val="nil"/>
            </w:tcBorders>
            <w:tcMar>
              <w:top w:w="80" w:type="dxa"/>
              <w:left w:w="90" w:type="dxa"/>
              <w:bottom w:w="80" w:type="dxa"/>
              <w:right w:w="90" w:type="dxa"/>
            </w:tcMar>
            <w:vAlign w:val="center"/>
          </w:tcPr>
          <w:p w14:paraId="541D6807" w14:textId="77777777" w:rsidR="004D6C43" w:rsidRDefault="00000000">
            <w:pPr>
              <w:keepLines/>
              <w:spacing w:before="120" w:after="240" w:line="252" w:lineRule="auto"/>
              <w:ind w:firstLine="0"/>
              <w:jc w:val="center"/>
            </w:pPr>
            <w:r>
              <w:rPr>
                <w:rFonts w:eastAsia="Songti SC"/>
                <w:color w:val="000000"/>
              </w:rPr>
              <w:t>454.29</w:t>
            </w:r>
          </w:p>
        </w:tc>
        <w:tc>
          <w:tcPr>
            <w:tcW w:w="1094" w:type="dxa"/>
            <w:tcBorders>
              <w:left w:val="nil"/>
              <w:bottom w:val="single" w:sz="12" w:space="0" w:color="000000"/>
              <w:right w:val="nil"/>
            </w:tcBorders>
            <w:tcMar>
              <w:top w:w="80" w:type="dxa"/>
              <w:left w:w="90" w:type="dxa"/>
              <w:bottom w:w="80" w:type="dxa"/>
              <w:right w:w="90" w:type="dxa"/>
            </w:tcMar>
            <w:vAlign w:val="center"/>
          </w:tcPr>
          <w:p w14:paraId="072CB235" w14:textId="77777777" w:rsidR="004D6C43" w:rsidRDefault="00000000">
            <w:pPr>
              <w:keepLines/>
              <w:spacing w:before="120" w:after="240" w:line="252" w:lineRule="auto"/>
              <w:ind w:firstLine="0"/>
              <w:jc w:val="center"/>
            </w:pPr>
            <w:r>
              <w:rPr>
                <w:rFonts w:eastAsia="Songti SC"/>
                <w:color w:val="000000"/>
              </w:rPr>
              <w:t>103</w:t>
            </w:r>
          </w:p>
        </w:tc>
        <w:tc>
          <w:tcPr>
            <w:tcW w:w="1209" w:type="dxa"/>
            <w:tcBorders>
              <w:left w:val="nil"/>
              <w:bottom w:val="single" w:sz="12" w:space="0" w:color="000000"/>
              <w:right w:val="nil"/>
            </w:tcBorders>
            <w:tcMar>
              <w:top w:w="80" w:type="dxa"/>
              <w:left w:w="90" w:type="dxa"/>
              <w:bottom w:w="80" w:type="dxa"/>
              <w:right w:w="90" w:type="dxa"/>
            </w:tcMar>
            <w:vAlign w:val="center"/>
          </w:tcPr>
          <w:p w14:paraId="58BD50AD" w14:textId="77777777" w:rsidR="004D6C43" w:rsidRDefault="00000000">
            <w:pPr>
              <w:keepLines/>
              <w:spacing w:before="120" w:after="240" w:line="252" w:lineRule="auto"/>
              <w:ind w:firstLine="0"/>
              <w:jc w:val="center"/>
            </w:pPr>
            <w:r>
              <w:rPr>
                <w:rFonts w:eastAsia="Songti SC"/>
                <w:color w:val="000000"/>
              </w:rPr>
              <w:t>120.02</w:t>
            </w:r>
          </w:p>
        </w:tc>
        <w:tc>
          <w:tcPr>
            <w:tcW w:w="1209" w:type="dxa"/>
            <w:tcBorders>
              <w:left w:val="nil"/>
              <w:bottom w:val="single" w:sz="12" w:space="0" w:color="000000"/>
              <w:right w:val="nil"/>
            </w:tcBorders>
            <w:tcMar>
              <w:top w:w="80" w:type="dxa"/>
              <w:left w:w="90" w:type="dxa"/>
              <w:bottom w:w="80" w:type="dxa"/>
              <w:right w:w="90" w:type="dxa"/>
            </w:tcMar>
            <w:vAlign w:val="center"/>
          </w:tcPr>
          <w:p w14:paraId="71CCEA3E" w14:textId="77777777" w:rsidR="004D6C43" w:rsidRDefault="00000000">
            <w:pPr>
              <w:keepLines/>
              <w:spacing w:before="120" w:after="240" w:line="252" w:lineRule="auto"/>
              <w:ind w:firstLine="0"/>
              <w:jc w:val="center"/>
            </w:pPr>
            <w:r>
              <w:rPr>
                <w:rFonts w:eastAsia="Songti SC"/>
                <w:color w:val="000000"/>
              </w:rPr>
              <w:t>9.46</w:t>
            </w:r>
          </w:p>
        </w:tc>
      </w:tr>
    </w:tbl>
    <w:p w14:paraId="75430299" w14:textId="77777777" w:rsidR="004D6C43" w:rsidRDefault="004D6C43">
      <w:pPr>
        <w:spacing w:before="120" w:after="240"/>
      </w:pPr>
    </w:p>
    <w:p w14:paraId="26C791D5" w14:textId="77777777" w:rsidR="004D6C43" w:rsidRDefault="00000000">
      <w:pPr>
        <w:spacing w:before="120" w:after="240"/>
        <w:ind w:left="420" w:right="420" w:firstLine="0"/>
        <w:jc w:val="both"/>
        <w:rPr>
          <w:lang w:eastAsia="zh-CN"/>
        </w:rPr>
      </w:pPr>
      <w:r>
        <w:rPr>
          <w:rFonts w:eastAsia="Songti SC"/>
          <w:color w:val="000000"/>
          <w:sz w:val="18"/>
          <w:lang w:eastAsia="zh-CN"/>
        </w:rPr>
        <w:t>注：观察期覆盖</w:t>
      </w:r>
      <w:r>
        <w:rPr>
          <w:rFonts w:eastAsia="Songti SC"/>
          <w:color w:val="000000"/>
          <w:sz w:val="18"/>
          <w:lang w:eastAsia="zh-CN"/>
        </w:rPr>
        <w:t>2020</w:t>
      </w:r>
      <w:r>
        <w:rPr>
          <w:rFonts w:eastAsia="Songti SC"/>
          <w:color w:val="000000"/>
          <w:sz w:val="18"/>
          <w:lang w:eastAsia="zh-CN"/>
        </w:rPr>
        <w:t>年</w:t>
      </w:r>
      <w:r>
        <w:rPr>
          <w:rFonts w:eastAsia="Songti SC"/>
          <w:color w:val="000000"/>
          <w:sz w:val="18"/>
          <w:lang w:eastAsia="zh-CN"/>
        </w:rPr>
        <w:t>1-9</w:t>
      </w:r>
      <w:r>
        <w:rPr>
          <w:rFonts w:eastAsia="Songti SC"/>
          <w:color w:val="000000"/>
          <w:sz w:val="18"/>
          <w:lang w:eastAsia="zh-CN"/>
        </w:rPr>
        <w:t>月及</w:t>
      </w:r>
      <w:r>
        <w:rPr>
          <w:rFonts w:eastAsia="Songti SC"/>
          <w:color w:val="000000"/>
          <w:sz w:val="18"/>
          <w:lang w:eastAsia="zh-CN"/>
        </w:rPr>
        <w:t>11-12</w:t>
      </w:r>
      <w:r>
        <w:rPr>
          <w:rFonts w:eastAsia="Songti SC"/>
          <w:color w:val="000000"/>
          <w:sz w:val="18"/>
          <w:lang w:eastAsia="zh-CN"/>
        </w:rPr>
        <w:t>月。</w:t>
      </w:r>
    </w:p>
    <w:p w14:paraId="51326195" w14:textId="77777777" w:rsidR="004D6C43" w:rsidRDefault="00000000">
      <w:pPr>
        <w:spacing w:before="120" w:after="240"/>
        <w:jc w:val="both"/>
        <w:rPr>
          <w:lang w:eastAsia="zh-CN"/>
        </w:rPr>
      </w:pPr>
      <w:r>
        <w:rPr>
          <w:rFonts w:eastAsia="Songti SC"/>
          <w:color w:val="000000"/>
          <w:lang w:eastAsia="zh-CN"/>
        </w:rPr>
        <w:t>图</w:t>
      </w:r>
      <w:r>
        <w:rPr>
          <w:rFonts w:eastAsia="Songti SC"/>
          <w:color w:val="000000"/>
          <w:lang w:eastAsia="zh-CN"/>
        </w:rPr>
        <w:t>1</w:t>
      </w:r>
      <w:r>
        <w:rPr>
          <w:rFonts w:eastAsia="Songti SC"/>
          <w:color w:val="000000"/>
          <w:lang w:eastAsia="zh-CN"/>
        </w:rPr>
        <w:t>呈现平台中实际观察到的四项核心结果。在信息消费方面，男性账号中有</w:t>
      </w:r>
      <w:r>
        <w:rPr>
          <w:rFonts w:eastAsia="Songti SC"/>
          <w:color w:val="000000"/>
          <w:lang w:eastAsia="zh-CN"/>
        </w:rPr>
        <w:t>12.66%</w:t>
      </w:r>
      <w:r>
        <w:rPr>
          <w:rFonts w:eastAsia="Songti SC"/>
          <w:color w:val="000000"/>
          <w:lang w:eastAsia="zh-CN"/>
        </w:rPr>
        <w:t>至少转发过一次公共事务来源，女性账号为</w:t>
      </w:r>
      <w:r>
        <w:rPr>
          <w:rFonts w:eastAsia="Songti SC"/>
          <w:color w:val="000000"/>
          <w:lang w:eastAsia="zh-CN"/>
        </w:rPr>
        <w:t>10.86%</w:t>
      </w:r>
      <w:r>
        <w:rPr>
          <w:rFonts w:eastAsia="Songti SC"/>
          <w:color w:val="000000"/>
          <w:lang w:eastAsia="zh-CN"/>
        </w:rPr>
        <w:t>；男性账号中有</w:t>
      </w:r>
      <w:r>
        <w:rPr>
          <w:rFonts w:eastAsia="Songti SC"/>
          <w:color w:val="000000"/>
          <w:lang w:eastAsia="zh-CN"/>
        </w:rPr>
        <w:t>4.81%</w:t>
      </w:r>
      <w:r>
        <w:rPr>
          <w:rFonts w:eastAsia="Songti SC"/>
          <w:color w:val="000000"/>
          <w:lang w:eastAsia="zh-CN"/>
        </w:rPr>
        <w:t>至少转发过一次明星文化来源，女性账号为</w:t>
      </w:r>
      <w:r>
        <w:rPr>
          <w:rFonts w:eastAsia="Songti SC"/>
          <w:color w:val="000000"/>
          <w:lang w:eastAsia="zh-CN"/>
        </w:rPr>
        <w:t>7.16%</w:t>
      </w:r>
      <w:r>
        <w:rPr>
          <w:rFonts w:eastAsia="Songti SC"/>
          <w:color w:val="000000"/>
          <w:lang w:eastAsia="zh-CN"/>
        </w:rPr>
        <w:t>。在内容表达方面，男性账号的公共事务帖子比例平均为</w:t>
      </w:r>
      <w:r>
        <w:rPr>
          <w:rFonts w:eastAsia="Songti SC"/>
          <w:color w:val="000000"/>
          <w:lang w:eastAsia="zh-CN"/>
        </w:rPr>
        <w:t>20.43%</w:t>
      </w:r>
      <w:r>
        <w:rPr>
          <w:rFonts w:eastAsia="Songti SC"/>
          <w:color w:val="000000"/>
          <w:lang w:eastAsia="zh-CN"/>
        </w:rPr>
        <w:t>，女性账号为</w:t>
      </w:r>
      <w:r>
        <w:rPr>
          <w:rFonts w:eastAsia="Songti SC"/>
          <w:color w:val="000000"/>
          <w:lang w:eastAsia="zh-CN"/>
        </w:rPr>
        <w:t>7.87%</w:t>
      </w:r>
      <w:r>
        <w:rPr>
          <w:rFonts w:eastAsia="Songti SC"/>
          <w:color w:val="000000"/>
          <w:lang w:eastAsia="zh-CN"/>
        </w:rPr>
        <w:t>；男性账号的明星文化帖子比例为</w:t>
      </w:r>
      <w:r>
        <w:rPr>
          <w:rFonts w:eastAsia="Songti SC"/>
          <w:color w:val="000000"/>
          <w:lang w:eastAsia="zh-CN"/>
        </w:rPr>
        <w:t>3.72%</w:t>
      </w:r>
      <w:r>
        <w:rPr>
          <w:rFonts w:eastAsia="Songti SC"/>
          <w:color w:val="000000"/>
          <w:lang w:eastAsia="zh-CN"/>
        </w:rPr>
        <w:t>，女性账号为</w:t>
      </w:r>
      <w:r>
        <w:rPr>
          <w:rFonts w:eastAsia="Songti SC"/>
          <w:color w:val="000000"/>
          <w:lang w:eastAsia="zh-CN"/>
        </w:rPr>
        <w:t>7.44%</w:t>
      </w:r>
      <w:r>
        <w:rPr>
          <w:rFonts w:eastAsia="Songti SC"/>
          <w:color w:val="000000"/>
          <w:lang w:eastAsia="zh-CN"/>
        </w:rPr>
        <w:t>。两个领域的性别差异方向相反，表明男性账号和女性账号的信息参与具有清晰的领域结构。</w:t>
      </w:r>
    </w:p>
    <w:p w14:paraId="14D67CBB" w14:textId="77777777" w:rsidR="004D6C43" w:rsidRDefault="00000000">
      <w:pPr>
        <w:keepNext/>
        <w:spacing w:before="120" w:after="240"/>
        <w:jc w:val="center"/>
      </w:pPr>
      <w:r>
        <w:rPr>
          <w:noProof/>
        </w:rPr>
        <w:lastRenderedPageBreak/>
        <w:drawing>
          <wp:inline distT="0" distB="0" distL="0" distR="0" wp14:anchorId="3581897A" wp14:editId="4583E24A">
            <wp:extent cx="5623560" cy="2157203"/>
            <wp:effectExtent l="0" t="0" r="0" b="0"/>
            <wp:docPr id="1" name="Picture 1" descr="图1 全样本四项核心参与结果" title="图1 全样本四项核心参与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819_fig1_core_outcomes.png"/>
                    <pic:cNvPicPr/>
                  </pic:nvPicPr>
                  <pic:blipFill>
                    <a:blip r:embed="rId8"/>
                    <a:stretch>
                      <a:fillRect/>
                    </a:stretch>
                  </pic:blipFill>
                  <pic:spPr>
                    <a:xfrm>
                      <a:off x="0" y="0"/>
                      <a:ext cx="5623560" cy="2157203"/>
                    </a:xfrm>
                    <a:prstGeom prst="rect">
                      <a:avLst/>
                    </a:prstGeom>
                  </pic:spPr>
                </pic:pic>
              </a:graphicData>
            </a:graphic>
          </wp:inline>
        </w:drawing>
      </w:r>
    </w:p>
    <w:p w14:paraId="037BBF1F" w14:textId="77777777" w:rsidR="004D6C43" w:rsidRDefault="00000000">
      <w:pPr>
        <w:pStyle w:val="af7"/>
        <w:keepLines/>
        <w:spacing w:before="120" w:after="240"/>
        <w:jc w:val="center"/>
        <w:rPr>
          <w:lang w:eastAsia="zh-CN"/>
        </w:rPr>
      </w:pPr>
      <w:r>
        <w:rPr>
          <w:lang w:eastAsia="zh-CN"/>
        </w:rPr>
        <w:t>图</w:t>
      </w:r>
      <w:r>
        <w:rPr>
          <w:lang w:eastAsia="zh-CN"/>
        </w:rPr>
        <w:t xml:space="preserve">1 </w:t>
      </w:r>
      <w:r>
        <w:rPr>
          <w:lang w:eastAsia="zh-CN"/>
        </w:rPr>
        <w:t>全样本四项核心参与结果</w:t>
      </w:r>
    </w:p>
    <w:p w14:paraId="3D5FA9AE" w14:textId="77777777" w:rsidR="004D6C43" w:rsidRDefault="00000000">
      <w:pPr>
        <w:spacing w:before="120" w:after="240"/>
        <w:jc w:val="both"/>
        <w:rPr>
          <w:lang w:eastAsia="zh-CN"/>
        </w:rPr>
      </w:pPr>
      <w:r>
        <w:rPr>
          <w:rFonts w:eastAsia="Songti SC"/>
          <w:color w:val="000000"/>
          <w:lang w:eastAsia="zh-CN"/>
        </w:rPr>
        <w:t>M1</w:t>
      </w:r>
      <w:r>
        <w:rPr>
          <w:rFonts w:eastAsia="Songti SC"/>
          <w:color w:val="000000"/>
          <w:lang w:eastAsia="zh-CN"/>
        </w:rPr>
        <w:t>进一步比较发帖量、转发量和活跃时间相近的账号。表</w:t>
      </w:r>
      <w:r>
        <w:rPr>
          <w:rFonts w:eastAsia="Songti SC"/>
          <w:color w:val="000000"/>
          <w:lang w:eastAsia="zh-CN"/>
        </w:rPr>
        <w:t>2</w:t>
      </w:r>
      <w:r>
        <w:rPr>
          <w:rFonts w:eastAsia="Songti SC"/>
          <w:color w:val="000000"/>
          <w:lang w:eastAsia="zh-CN"/>
        </w:rPr>
        <w:t>显示，在信息消费方面，男性账号参与公共事务领域的概率比女性账号高</w:t>
      </w:r>
      <w:r>
        <w:rPr>
          <w:rFonts w:eastAsia="Songti SC"/>
          <w:color w:val="000000"/>
          <w:lang w:eastAsia="zh-CN"/>
        </w:rPr>
        <w:t>3.59</w:t>
      </w:r>
      <w:r>
        <w:rPr>
          <w:rFonts w:eastAsia="Songti SC"/>
          <w:color w:val="000000"/>
          <w:lang w:eastAsia="zh-CN"/>
        </w:rPr>
        <w:t>个百分点，参与明星文化领域的概率低</w:t>
      </w:r>
      <w:r>
        <w:rPr>
          <w:rFonts w:eastAsia="Songti SC"/>
          <w:color w:val="000000"/>
          <w:lang w:eastAsia="zh-CN"/>
        </w:rPr>
        <w:t>1.50</w:t>
      </w:r>
      <w:r>
        <w:rPr>
          <w:rFonts w:eastAsia="Songti SC"/>
          <w:color w:val="000000"/>
          <w:lang w:eastAsia="zh-CN"/>
        </w:rPr>
        <w:t>个百分点；在内容表达方面，男性账号的公共事务内容比例比女性账号高</w:t>
      </w:r>
      <w:r>
        <w:rPr>
          <w:rFonts w:eastAsia="Songti SC"/>
          <w:color w:val="000000"/>
          <w:lang w:eastAsia="zh-CN"/>
        </w:rPr>
        <w:t>9.75</w:t>
      </w:r>
      <w:r>
        <w:rPr>
          <w:rFonts w:eastAsia="Songti SC"/>
          <w:color w:val="000000"/>
          <w:lang w:eastAsia="zh-CN"/>
        </w:rPr>
        <w:t>个百分点，明星文化内容比例低</w:t>
      </w:r>
      <w:r>
        <w:rPr>
          <w:rFonts w:eastAsia="Songti SC"/>
          <w:color w:val="000000"/>
          <w:lang w:eastAsia="zh-CN"/>
        </w:rPr>
        <w:t>3.46</w:t>
      </w:r>
      <w:r>
        <w:rPr>
          <w:rFonts w:eastAsia="Songti SC"/>
          <w:color w:val="000000"/>
          <w:lang w:eastAsia="zh-CN"/>
        </w:rPr>
        <w:t>个百分点。四个置信区间均未跨越零。</w:t>
      </w:r>
      <w:r>
        <w:rPr>
          <w:rFonts w:eastAsia="Songti SC"/>
          <w:color w:val="000000"/>
          <w:lang w:eastAsia="zh-CN"/>
        </w:rPr>
        <w:t>M2</w:t>
      </w:r>
      <w:r>
        <w:rPr>
          <w:rFonts w:eastAsia="Songti SC"/>
          <w:color w:val="000000"/>
          <w:lang w:eastAsia="zh-CN"/>
        </w:rPr>
        <w:t>在资料完整账号中得到相同的领域方向。</w:t>
      </w:r>
    </w:p>
    <w:p w14:paraId="19FD5281" w14:textId="77777777" w:rsidR="004D6C43" w:rsidRDefault="00000000">
      <w:pPr>
        <w:keepNext/>
        <w:spacing w:before="120" w:after="240"/>
        <w:jc w:val="center"/>
        <w:rPr>
          <w:lang w:eastAsia="zh-CN"/>
        </w:rPr>
      </w:pPr>
      <w:r>
        <w:rPr>
          <w:rFonts w:eastAsia="Songti SC"/>
          <w:b/>
          <w:color w:val="000000"/>
          <w:lang w:eastAsia="zh-CN"/>
        </w:rPr>
        <w:t>表</w:t>
      </w:r>
      <w:r>
        <w:rPr>
          <w:rFonts w:eastAsia="Songti SC"/>
          <w:b/>
          <w:color w:val="000000"/>
          <w:lang w:eastAsia="zh-CN"/>
        </w:rPr>
        <w:t xml:space="preserve">2 </w:t>
      </w:r>
      <w:r>
        <w:rPr>
          <w:rFonts w:eastAsia="Songti SC"/>
          <w:b/>
          <w:color w:val="000000"/>
          <w:lang w:eastAsia="zh-CN"/>
        </w:rPr>
        <w:t>不同比较条件下的核心性别差异</w:t>
      </w:r>
    </w:p>
    <w:tbl>
      <w:tblPr>
        <w:tblW w:w="8927" w:type="dxa"/>
        <w:jc w:val="center"/>
        <w:tblLayout w:type="fixed"/>
        <w:tblLook w:val="04A0" w:firstRow="1" w:lastRow="0" w:firstColumn="1" w:lastColumn="0" w:noHBand="0" w:noVBand="1"/>
      </w:tblPr>
      <w:tblGrid>
        <w:gridCol w:w="2131"/>
        <w:gridCol w:w="1699"/>
        <w:gridCol w:w="1699"/>
        <w:gridCol w:w="1699"/>
        <w:gridCol w:w="1699"/>
      </w:tblGrid>
      <w:tr w:rsidR="004D6C43" w14:paraId="67781C71" w14:textId="77777777">
        <w:trPr>
          <w:cantSplit/>
          <w:tblHeader/>
          <w:jc w:val="center"/>
        </w:trPr>
        <w:tc>
          <w:tcPr>
            <w:tcW w:w="2131" w:type="dxa"/>
            <w:tcBorders>
              <w:top w:val="single" w:sz="12" w:space="0" w:color="000000"/>
              <w:left w:val="nil"/>
              <w:bottom w:val="single" w:sz="6" w:space="0" w:color="000000"/>
              <w:right w:val="nil"/>
            </w:tcBorders>
            <w:tcMar>
              <w:top w:w="80" w:type="dxa"/>
              <w:left w:w="90" w:type="dxa"/>
              <w:bottom w:w="80" w:type="dxa"/>
              <w:right w:w="90" w:type="dxa"/>
            </w:tcMar>
            <w:vAlign w:val="center"/>
          </w:tcPr>
          <w:p w14:paraId="2652CD9F" w14:textId="77777777" w:rsidR="004D6C43" w:rsidRDefault="00000000">
            <w:pPr>
              <w:keepNext/>
              <w:keepLines/>
              <w:spacing w:before="120" w:after="240" w:line="252" w:lineRule="auto"/>
              <w:ind w:firstLine="0"/>
            </w:pPr>
            <w:r>
              <w:rPr>
                <w:rFonts w:eastAsia="Songti SC"/>
                <w:b/>
                <w:color w:val="000000"/>
              </w:rPr>
              <w:t>比较条件</w:t>
            </w:r>
          </w:p>
        </w:tc>
        <w:tc>
          <w:tcPr>
            <w:tcW w:w="1699" w:type="dxa"/>
            <w:tcBorders>
              <w:top w:val="single" w:sz="12" w:space="0" w:color="000000"/>
              <w:left w:val="nil"/>
              <w:bottom w:val="single" w:sz="6" w:space="0" w:color="000000"/>
              <w:right w:val="nil"/>
            </w:tcBorders>
            <w:tcMar>
              <w:top w:w="80" w:type="dxa"/>
              <w:left w:w="90" w:type="dxa"/>
              <w:bottom w:w="80" w:type="dxa"/>
              <w:right w:w="90" w:type="dxa"/>
            </w:tcMar>
            <w:vAlign w:val="center"/>
          </w:tcPr>
          <w:p w14:paraId="51A70D6D" w14:textId="77777777" w:rsidR="004D6C43" w:rsidRDefault="00000000">
            <w:pPr>
              <w:keepNext/>
              <w:keepLines/>
              <w:spacing w:before="120" w:after="240" w:line="252" w:lineRule="auto"/>
              <w:ind w:firstLine="0"/>
              <w:jc w:val="center"/>
            </w:pPr>
            <w:r>
              <w:rPr>
                <w:rFonts w:eastAsia="Songti SC"/>
                <w:b/>
                <w:color w:val="000000"/>
              </w:rPr>
              <w:t>公共事务信息消费</w:t>
            </w:r>
          </w:p>
        </w:tc>
        <w:tc>
          <w:tcPr>
            <w:tcW w:w="1699" w:type="dxa"/>
            <w:tcBorders>
              <w:top w:val="single" w:sz="12" w:space="0" w:color="000000"/>
              <w:left w:val="nil"/>
              <w:bottom w:val="single" w:sz="6" w:space="0" w:color="000000"/>
              <w:right w:val="nil"/>
            </w:tcBorders>
            <w:tcMar>
              <w:top w:w="80" w:type="dxa"/>
              <w:left w:w="90" w:type="dxa"/>
              <w:bottom w:w="80" w:type="dxa"/>
              <w:right w:w="90" w:type="dxa"/>
            </w:tcMar>
            <w:vAlign w:val="center"/>
          </w:tcPr>
          <w:p w14:paraId="10BADF13" w14:textId="77777777" w:rsidR="004D6C43" w:rsidRDefault="00000000">
            <w:pPr>
              <w:keepNext/>
              <w:keepLines/>
              <w:spacing w:before="120" w:after="240" w:line="252" w:lineRule="auto"/>
              <w:ind w:firstLine="0"/>
              <w:jc w:val="center"/>
            </w:pPr>
            <w:r>
              <w:rPr>
                <w:rFonts w:eastAsia="Songti SC"/>
                <w:b/>
                <w:color w:val="000000"/>
              </w:rPr>
              <w:t>明星文化信息消费</w:t>
            </w:r>
          </w:p>
        </w:tc>
        <w:tc>
          <w:tcPr>
            <w:tcW w:w="1699" w:type="dxa"/>
            <w:tcBorders>
              <w:top w:val="single" w:sz="12" w:space="0" w:color="000000"/>
              <w:left w:val="nil"/>
              <w:bottom w:val="single" w:sz="6" w:space="0" w:color="000000"/>
              <w:right w:val="nil"/>
            </w:tcBorders>
            <w:tcMar>
              <w:top w:w="80" w:type="dxa"/>
              <w:left w:w="90" w:type="dxa"/>
              <w:bottom w:w="80" w:type="dxa"/>
              <w:right w:w="90" w:type="dxa"/>
            </w:tcMar>
            <w:vAlign w:val="center"/>
          </w:tcPr>
          <w:p w14:paraId="6C0C9286" w14:textId="77777777" w:rsidR="004D6C43" w:rsidRDefault="00000000">
            <w:pPr>
              <w:keepNext/>
              <w:keepLines/>
              <w:spacing w:before="120" w:after="240" w:line="252" w:lineRule="auto"/>
              <w:ind w:firstLine="0"/>
              <w:jc w:val="center"/>
            </w:pPr>
            <w:r>
              <w:rPr>
                <w:rFonts w:eastAsia="Songti SC"/>
                <w:b/>
                <w:color w:val="000000"/>
              </w:rPr>
              <w:t>公共事务内容表达</w:t>
            </w:r>
          </w:p>
        </w:tc>
        <w:tc>
          <w:tcPr>
            <w:tcW w:w="1699" w:type="dxa"/>
            <w:tcBorders>
              <w:top w:val="single" w:sz="12" w:space="0" w:color="000000"/>
              <w:left w:val="nil"/>
              <w:bottom w:val="single" w:sz="6" w:space="0" w:color="000000"/>
              <w:right w:val="nil"/>
            </w:tcBorders>
            <w:tcMar>
              <w:top w:w="80" w:type="dxa"/>
              <w:left w:w="90" w:type="dxa"/>
              <w:bottom w:w="80" w:type="dxa"/>
              <w:right w:w="90" w:type="dxa"/>
            </w:tcMar>
            <w:vAlign w:val="center"/>
          </w:tcPr>
          <w:p w14:paraId="395E087B" w14:textId="77777777" w:rsidR="004D6C43" w:rsidRDefault="00000000">
            <w:pPr>
              <w:keepNext/>
              <w:keepLines/>
              <w:spacing w:before="120" w:after="240" w:line="252" w:lineRule="auto"/>
              <w:ind w:firstLine="0"/>
              <w:jc w:val="center"/>
            </w:pPr>
            <w:r>
              <w:rPr>
                <w:rFonts w:eastAsia="Songti SC"/>
                <w:b/>
                <w:color w:val="000000"/>
              </w:rPr>
              <w:t>明星文化内容表达</w:t>
            </w:r>
          </w:p>
        </w:tc>
      </w:tr>
      <w:tr w:rsidR="004D6C43" w14:paraId="11E17BF1" w14:textId="77777777">
        <w:trPr>
          <w:cantSplit/>
          <w:jc w:val="center"/>
        </w:trPr>
        <w:tc>
          <w:tcPr>
            <w:tcW w:w="2131" w:type="dxa"/>
            <w:tcBorders>
              <w:top w:val="nil"/>
              <w:left w:val="nil"/>
              <w:bottom w:val="nil"/>
              <w:right w:val="nil"/>
            </w:tcBorders>
            <w:tcMar>
              <w:top w:w="80" w:type="dxa"/>
              <w:left w:w="90" w:type="dxa"/>
              <w:bottom w:w="80" w:type="dxa"/>
              <w:right w:w="90" w:type="dxa"/>
            </w:tcMar>
            <w:vAlign w:val="center"/>
          </w:tcPr>
          <w:p w14:paraId="05E7F904" w14:textId="77777777" w:rsidR="004D6C43" w:rsidRDefault="00000000">
            <w:pPr>
              <w:keepNext/>
              <w:keepLines/>
              <w:spacing w:before="120" w:after="240" w:line="252" w:lineRule="auto"/>
              <w:ind w:firstLine="0"/>
            </w:pPr>
            <w:r>
              <w:rPr>
                <w:rFonts w:eastAsia="Songti SC"/>
                <w:color w:val="000000"/>
              </w:rPr>
              <w:t>M0</w:t>
            </w:r>
            <w:r>
              <w:rPr>
                <w:rFonts w:eastAsia="Songti SC"/>
                <w:color w:val="000000"/>
              </w:rPr>
              <w:t>（未调整模型）</w:t>
            </w:r>
          </w:p>
        </w:tc>
        <w:tc>
          <w:tcPr>
            <w:tcW w:w="1699" w:type="dxa"/>
            <w:tcBorders>
              <w:top w:val="nil"/>
              <w:left w:val="nil"/>
              <w:bottom w:val="nil"/>
              <w:right w:val="nil"/>
            </w:tcBorders>
            <w:tcMar>
              <w:top w:w="80" w:type="dxa"/>
              <w:left w:w="90" w:type="dxa"/>
              <w:bottom w:w="80" w:type="dxa"/>
              <w:right w:w="90" w:type="dxa"/>
            </w:tcMar>
            <w:vAlign w:val="center"/>
          </w:tcPr>
          <w:p w14:paraId="2F48B963" w14:textId="77777777" w:rsidR="004D6C43" w:rsidRDefault="00000000">
            <w:pPr>
              <w:keepNext/>
              <w:keepLines/>
              <w:spacing w:before="120" w:after="240" w:line="252" w:lineRule="auto"/>
              <w:ind w:firstLine="0"/>
              <w:jc w:val="center"/>
            </w:pPr>
            <w:r>
              <w:rPr>
                <w:rFonts w:eastAsia="Songti SC"/>
                <w:color w:val="000000"/>
              </w:rPr>
              <w:t>1.80 [1.48, 2.12]</w:t>
            </w:r>
          </w:p>
        </w:tc>
        <w:tc>
          <w:tcPr>
            <w:tcW w:w="1699" w:type="dxa"/>
            <w:tcBorders>
              <w:top w:val="nil"/>
              <w:left w:val="nil"/>
              <w:bottom w:val="nil"/>
              <w:right w:val="nil"/>
            </w:tcBorders>
            <w:tcMar>
              <w:top w:w="80" w:type="dxa"/>
              <w:left w:w="90" w:type="dxa"/>
              <w:bottom w:w="80" w:type="dxa"/>
              <w:right w:w="90" w:type="dxa"/>
            </w:tcMar>
            <w:vAlign w:val="center"/>
          </w:tcPr>
          <w:p w14:paraId="13FCE7E1" w14:textId="77777777" w:rsidR="004D6C43" w:rsidRDefault="00000000">
            <w:pPr>
              <w:keepNext/>
              <w:keepLines/>
              <w:spacing w:before="120" w:after="240" w:line="252" w:lineRule="auto"/>
              <w:ind w:firstLine="0"/>
              <w:jc w:val="center"/>
            </w:pPr>
            <w:r>
              <w:rPr>
                <w:rFonts w:eastAsia="Songti SC"/>
                <w:color w:val="000000"/>
              </w:rPr>
              <w:t>-2.35 [-2.57, -2.13]</w:t>
            </w:r>
          </w:p>
        </w:tc>
        <w:tc>
          <w:tcPr>
            <w:tcW w:w="1699" w:type="dxa"/>
            <w:tcBorders>
              <w:top w:val="nil"/>
              <w:left w:val="nil"/>
              <w:bottom w:val="nil"/>
              <w:right w:val="nil"/>
            </w:tcBorders>
            <w:tcMar>
              <w:top w:w="80" w:type="dxa"/>
              <w:left w:w="90" w:type="dxa"/>
              <w:bottom w:w="80" w:type="dxa"/>
              <w:right w:w="90" w:type="dxa"/>
            </w:tcMar>
            <w:vAlign w:val="center"/>
          </w:tcPr>
          <w:p w14:paraId="68585F34" w14:textId="77777777" w:rsidR="004D6C43" w:rsidRDefault="00000000">
            <w:pPr>
              <w:keepNext/>
              <w:keepLines/>
              <w:spacing w:before="120" w:after="240" w:line="252" w:lineRule="auto"/>
              <w:ind w:firstLine="0"/>
              <w:jc w:val="center"/>
            </w:pPr>
            <w:r>
              <w:rPr>
                <w:rFonts w:eastAsia="Songti SC"/>
                <w:color w:val="000000"/>
              </w:rPr>
              <w:t>12.56 [12.32, 12.80]</w:t>
            </w:r>
          </w:p>
        </w:tc>
        <w:tc>
          <w:tcPr>
            <w:tcW w:w="1699" w:type="dxa"/>
            <w:tcBorders>
              <w:top w:val="nil"/>
              <w:left w:val="nil"/>
              <w:bottom w:val="nil"/>
              <w:right w:val="nil"/>
            </w:tcBorders>
            <w:tcMar>
              <w:top w:w="80" w:type="dxa"/>
              <w:left w:w="90" w:type="dxa"/>
              <w:bottom w:w="80" w:type="dxa"/>
              <w:right w:w="90" w:type="dxa"/>
            </w:tcMar>
            <w:vAlign w:val="center"/>
          </w:tcPr>
          <w:p w14:paraId="21493E23" w14:textId="77777777" w:rsidR="004D6C43" w:rsidRDefault="00000000">
            <w:pPr>
              <w:keepNext/>
              <w:keepLines/>
              <w:spacing w:before="120" w:after="240" w:line="252" w:lineRule="auto"/>
              <w:ind w:firstLine="0"/>
              <w:jc w:val="center"/>
            </w:pPr>
            <w:r>
              <w:rPr>
                <w:rFonts w:eastAsia="Songti SC"/>
                <w:color w:val="000000"/>
              </w:rPr>
              <w:t>-3.72 [-3.84, -3.61]</w:t>
            </w:r>
          </w:p>
        </w:tc>
      </w:tr>
      <w:tr w:rsidR="004D6C43" w14:paraId="25B9E90B" w14:textId="77777777">
        <w:trPr>
          <w:cantSplit/>
          <w:jc w:val="center"/>
        </w:trPr>
        <w:tc>
          <w:tcPr>
            <w:tcW w:w="2131" w:type="dxa"/>
            <w:tcBorders>
              <w:top w:val="nil"/>
              <w:left w:val="nil"/>
              <w:bottom w:val="nil"/>
              <w:right w:val="nil"/>
            </w:tcBorders>
            <w:tcMar>
              <w:top w:w="80" w:type="dxa"/>
              <w:left w:w="90" w:type="dxa"/>
              <w:bottom w:w="80" w:type="dxa"/>
              <w:right w:w="90" w:type="dxa"/>
            </w:tcMar>
            <w:vAlign w:val="center"/>
          </w:tcPr>
          <w:p w14:paraId="125C7B02" w14:textId="77777777" w:rsidR="004D6C43" w:rsidRDefault="00000000">
            <w:pPr>
              <w:keepNext/>
              <w:keepLines/>
              <w:spacing w:before="120" w:after="240" w:line="252" w:lineRule="auto"/>
              <w:ind w:firstLine="0"/>
              <w:rPr>
                <w:lang w:eastAsia="zh-CN"/>
              </w:rPr>
            </w:pPr>
            <w:r>
              <w:rPr>
                <w:rFonts w:eastAsia="Songti SC"/>
                <w:color w:val="000000"/>
                <w:lang w:eastAsia="zh-CN"/>
              </w:rPr>
              <w:t>M1</w:t>
            </w:r>
            <w:r>
              <w:rPr>
                <w:rFonts w:eastAsia="Songti SC"/>
                <w:color w:val="000000"/>
                <w:lang w:eastAsia="zh-CN"/>
              </w:rPr>
              <w:t>（活跃度调整模型，主要模型）</w:t>
            </w:r>
          </w:p>
        </w:tc>
        <w:tc>
          <w:tcPr>
            <w:tcW w:w="1699" w:type="dxa"/>
            <w:tcBorders>
              <w:top w:val="nil"/>
              <w:left w:val="nil"/>
              <w:bottom w:val="nil"/>
              <w:right w:val="nil"/>
            </w:tcBorders>
            <w:tcMar>
              <w:top w:w="80" w:type="dxa"/>
              <w:left w:w="90" w:type="dxa"/>
              <w:bottom w:w="80" w:type="dxa"/>
              <w:right w:w="90" w:type="dxa"/>
            </w:tcMar>
            <w:vAlign w:val="center"/>
          </w:tcPr>
          <w:p w14:paraId="00E7C6E2" w14:textId="77777777" w:rsidR="004D6C43" w:rsidRDefault="00000000">
            <w:pPr>
              <w:keepNext/>
              <w:keepLines/>
              <w:spacing w:before="120" w:after="240" w:line="252" w:lineRule="auto"/>
              <w:ind w:firstLine="0"/>
              <w:jc w:val="center"/>
            </w:pPr>
            <w:r>
              <w:rPr>
                <w:rFonts w:eastAsia="Songti SC"/>
                <w:color w:val="000000"/>
              </w:rPr>
              <w:t>3.59 [3.28, 3.91]</w:t>
            </w:r>
          </w:p>
        </w:tc>
        <w:tc>
          <w:tcPr>
            <w:tcW w:w="1699" w:type="dxa"/>
            <w:tcBorders>
              <w:top w:val="nil"/>
              <w:left w:val="nil"/>
              <w:bottom w:val="nil"/>
              <w:right w:val="nil"/>
            </w:tcBorders>
            <w:tcMar>
              <w:top w:w="80" w:type="dxa"/>
              <w:left w:w="90" w:type="dxa"/>
              <w:bottom w:w="80" w:type="dxa"/>
              <w:right w:w="90" w:type="dxa"/>
            </w:tcMar>
            <w:vAlign w:val="center"/>
          </w:tcPr>
          <w:p w14:paraId="56C586B2" w14:textId="77777777" w:rsidR="004D6C43" w:rsidRDefault="00000000">
            <w:pPr>
              <w:keepNext/>
              <w:keepLines/>
              <w:spacing w:before="120" w:after="240" w:line="252" w:lineRule="auto"/>
              <w:ind w:firstLine="0"/>
              <w:jc w:val="center"/>
            </w:pPr>
            <w:r>
              <w:rPr>
                <w:rFonts w:eastAsia="Songti SC"/>
                <w:color w:val="000000"/>
              </w:rPr>
              <w:t>-1.50 [-1.73, -1.28]</w:t>
            </w:r>
          </w:p>
        </w:tc>
        <w:tc>
          <w:tcPr>
            <w:tcW w:w="1699" w:type="dxa"/>
            <w:tcBorders>
              <w:top w:val="nil"/>
              <w:left w:val="nil"/>
              <w:bottom w:val="nil"/>
              <w:right w:val="nil"/>
            </w:tcBorders>
            <w:tcMar>
              <w:top w:w="80" w:type="dxa"/>
              <w:left w:w="90" w:type="dxa"/>
              <w:bottom w:w="80" w:type="dxa"/>
              <w:right w:w="90" w:type="dxa"/>
            </w:tcMar>
            <w:vAlign w:val="center"/>
          </w:tcPr>
          <w:p w14:paraId="72CD3626" w14:textId="77777777" w:rsidR="004D6C43" w:rsidRDefault="00000000">
            <w:pPr>
              <w:keepNext/>
              <w:keepLines/>
              <w:spacing w:before="120" w:after="240" w:line="252" w:lineRule="auto"/>
              <w:ind w:firstLine="0"/>
              <w:jc w:val="center"/>
            </w:pPr>
            <w:r>
              <w:rPr>
                <w:rFonts w:eastAsia="Songti SC"/>
                <w:color w:val="000000"/>
              </w:rPr>
              <w:t>9.75 [9.54, 9.96]</w:t>
            </w:r>
          </w:p>
        </w:tc>
        <w:tc>
          <w:tcPr>
            <w:tcW w:w="1699" w:type="dxa"/>
            <w:tcBorders>
              <w:top w:val="nil"/>
              <w:left w:val="nil"/>
              <w:bottom w:val="nil"/>
              <w:right w:val="nil"/>
            </w:tcBorders>
            <w:tcMar>
              <w:top w:w="80" w:type="dxa"/>
              <w:left w:w="90" w:type="dxa"/>
              <w:bottom w:w="80" w:type="dxa"/>
              <w:right w:w="90" w:type="dxa"/>
            </w:tcMar>
            <w:vAlign w:val="center"/>
          </w:tcPr>
          <w:p w14:paraId="45A35327" w14:textId="77777777" w:rsidR="004D6C43" w:rsidRDefault="00000000">
            <w:pPr>
              <w:keepNext/>
              <w:keepLines/>
              <w:spacing w:before="120" w:after="240" w:line="252" w:lineRule="auto"/>
              <w:ind w:firstLine="0"/>
              <w:jc w:val="center"/>
            </w:pPr>
            <w:r>
              <w:rPr>
                <w:rFonts w:eastAsia="Songti SC"/>
                <w:color w:val="000000"/>
              </w:rPr>
              <w:t>-3.46 [-3.58, -3.34]</w:t>
            </w:r>
          </w:p>
        </w:tc>
      </w:tr>
      <w:tr w:rsidR="004D6C43" w14:paraId="14B05A5E" w14:textId="77777777">
        <w:trPr>
          <w:cantSplit/>
          <w:jc w:val="center"/>
        </w:trPr>
        <w:tc>
          <w:tcPr>
            <w:tcW w:w="2131" w:type="dxa"/>
            <w:tcBorders>
              <w:left w:val="nil"/>
              <w:bottom w:val="single" w:sz="12" w:space="0" w:color="000000"/>
              <w:right w:val="nil"/>
            </w:tcBorders>
            <w:tcMar>
              <w:top w:w="80" w:type="dxa"/>
              <w:left w:w="90" w:type="dxa"/>
              <w:bottom w:w="80" w:type="dxa"/>
              <w:right w:w="90" w:type="dxa"/>
            </w:tcMar>
            <w:vAlign w:val="center"/>
          </w:tcPr>
          <w:p w14:paraId="682E17B8" w14:textId="77777777" w:rsidR="004D6C43" w:rsidRDefault="00000000">
            <w:pPr>
              <w:keepLines/>
              <w:spacing w:before="120" w:after="240" w:line="252" w:lineRule="auto"/>
              <w:ind w:firstLine="0"/>
              <w:rPr>
                <w:lang w:eastAsia="zh-CN"/>
              </w:rPr>
            </w:pPr>
            <w:r>
              <w:rPr>
                <w:rFonts w:eastAsia="Songti SC"/>
                <w:color w:val="000000"/>
                <w:lang w:eastAsia="zh-CN"/>
              </w:rPr>
              <w:t>M2</w:t>
            </w:r>
            <w:r>
              <w:rPr>
                <w:rFonts w:eastAsia="Songti SC"/>
                <w:color w:val="000000"/>
                <w:lang w:eastAsia="zh-CN"/>
              </w:rPr>
              <w:t>（账号资料扩展模型）</w:t>
            </w:r>
          </w:p>
        </w:tc>
        <w:tc>
          <w:tcPr>
            <w:tcW w:w="1699" w:type="dxa"/>
            <w:tcBorders>
              <w:left w:val="nil"/>
              <w:bottom w:val="single" w:sz="12" w:space="0" w:color="000000"/>
              <w:right w:val="nil"/>
            </w:tcBorders>
            <w:tcMar>
              <w:top w:w="80" w:type="dxa"/>
              <w:left w:w="90" w:type="dxa"/>
              <w:bottom w:w="80" w:type="dxa"/>
              <w:right w:w="90" w:type="dxa"/>
            </w:tcMar>
            <w:vAlign w:val="center"/>
          </w:tcPr>
          <w:p w14:paraId="4B50EE0C" w14:textId="77777777" w:rsidR="004D6C43" w:rsidRDefault="00000000">
            <w:pPr>
              <w:keepLines/>
              <w:spacing w:before="120" w:after="240" w:line="252" w:lineRule="auto"/>
              <w:ind w:firstLine="0"/>
              <w:jc w:val="center"/>
            </w:pPr>
            <w:r>
              <w:rPr>
                <w:rFonts w:eastAsia="Songti SC"/>
                <w:color w:val="000000"/>
              </w:rPr>
              <w:t>4.17 [3.79, 4.55]</w:t>
            </w:r>
          </w:p>
        </w:tc>
        <w:tc>
          <w:tcPr>
            <w:tcW w:w="1699" w:type="dxa"/>
            <w:tcBorders>
              <w:left w:val="nil"/>
              <w:bottom w:val="single" w:sz="12" w:space="0" w:color="000000"/>
              <w:right w:val="nil"/>
            </w:tcBorders>
            <w:tcMar>
              <w:top w:w="80" w:type="dxa"/>
              <w:left w:w="90" w:type="dxa"/>
              <w:bottom w:w="80" w:type="dxa"/>
              <w:right w:w="90" w:type="dxa"/>
            </w:tcMar>
            <w:vAlign w:val="center"/>
          </w:tcPr>
          <w:p w14:paraId="7AC91407" w14:textId="77777777" w:rsidR="004D6C43" w:rsidRDefault="00000000">
            <w:pPr>
              <w:keepLines/>
              <w:spacing w:before="120" w:after="240" w:line="252" w:lineRule="auto"/>
              <w:ind w:firstLine="0"/>
              <w:jc w:val="center"/>
            </w:pPr>
            <w:r>
              <w:rPr>
                <w:rFonts w:eastAsia="Songti SC"/>
                <w:color w:val="000000"/>
              </w:rPr>
              <w:t>-1.70 [-1.97, -1.44]</w:t>
            </w:r>
          </w:p>
        </w:tc>
        <w:tc>
          <w:tcPr>
            <w:tcW w:w="1699" w:type="dxa"/>
            <w:tcBorders>
              <w:left w:val="nil"/>
              <w:bottom w:val="single" w:sz="12" w:space="0" w:color="000000"/>
              <w:right w:val="nil"/>
            </w:tcBorders>
            <w:tcMar>
              <w:top w:w="80" w:type="dxa"/>
              <w:left w:w="90" w:type="dxa"/>
              <w:bottom w:w="80" w:type="dxa"/>
              <w:right w:w="90" w:type="dxa"/>
            </w:tcMar>
            <w:vAlign w:val="center"/>
          </w:tcPr>
          <w:p w14:paraId="0F12504D" w14:textId="77777777" w:rsidR="004D6C43" w:rsidRDefault="00000000">
            <w:pPr>
              <w:keepLines/>
              <w:spacing w:before="120" w:after="240" w:line="252" w:lineRule="auto"/>
              <w:ind w:firstLine="0"/>
              <w:jc w:val="center"/>
            </w:pPr>
            <w:r>
              <w:rPr>
                <w:rFonts w:eastAsia="Songti SC"/>
                <w:color w:val="000000"/>
              </w:rPr>
              <w:t>9.33 [9.09, 9.56]</w:t>
            </w:r>
          </w:p>
        </w:tc>
        <w:tc>
          <w:tcPr>
            <w:tcW w:w="1699" w:type="dxa"/>
            <w:tcBorders>
              <w:left w:val="nil"/>
              <w:bottom w:val="single" w:sz="12" w:space="0" w:color="000000"/>
              <w:right w:val="nil"/>
            </w:tcBorders>
            <w:tcMar>
              <w:top w:w="80" w:type="dxa"/>
              <w:left w:w="90" w:type="dxa"/>
              <w:bottom w:w="80" w:type="dxa"/>
              <w:right w:w="90" w:type="dxa"/>
            </w:tcMar>
            <w:vAlign w:val="center"/>
          </w:tcPr>
          <w:p w14:paraId="4C9F41E9" w14:textId="77777777" w:rsidR="004D6C43" w:rsidRDefault="00000000">
            <w:pPr>
              <w:keepLines/>
              <w:spacing w:before="120" w:after="240" w:line="252" w:lineRule="auto"/>
              <w:ind w:firstLine="0"/>
              <w:jc w:val="center"/>
            </w:pPr>
            <w:r>
              <w:rPr>
                <w:rFonts w:eastAsia="Songti SC"/>
                <w:color w:val="000000"/>
              </w:rPr>
              <w:t>-4.17 [-4.31, -4.03]</w:t>
            </w:r>
          </w:p>
        </w:tc>
      </w:tr>
    </w:tbl>
    <w:p w14:paraId="4C879001" w14:textId="77777777" w:rsidR="004D6C43" w:rsidRDefault="004D6C43">
      <w:pPr>
        <w:spacing w:before="120" w:after="240"/>
      </w:pPr>
    </w:p>
    <w:p w14:paraId="07AC57A0" w14:textId="77777777" w:rsidR="004D6C43" w:rsidRDefault="00000000">
      <w:pPr>
        <w:spacing w:before="120" w:after="240"/>
        <w:ind w:left="420" w:right="420" w:firstLine="0"/>
        <w:jc w:val="both"/>
        <w:rPr>
          <w:lang w:eastAsia="zh-CN"/>
        </w:rPr>
      </w:pPr>
      <w:r>
        <w:rPr>
          <w:rFonts w:eastAsia="Songti SC"/>
          <w:color w:val="000000"/>
          <w:sz w:val="18"/>
          <w:lang w:eastAsia="zh-CN"/>
        </w:rPr>
        <w:t>注：表中为男性账号减女性账号的平均边际效应，单位为百分点，方括号内为</w:t>
      </w:r>
      <w:r>
        <w:rPr>
          <w:rFonts w:eastAsia="Songti SC"/>
          <w:color w:val="000000"/>
          <w:sz w:val="18"/>
          <w:lang w:eastAsia="zh-CN"/>
        </w:rPr>
        <w:t>95%</w:t>
      </w:r>
      <w:r>
        <w:rPr>
          <w:rFonts w:eastAsia="Songti SC"/>
          <w:color w:val="000000"/>
          <w:sz w:val="18"/>
          <w:lang w:eastAsia="zh-CN"/>
        </w:rPr>
        <w:t>置信区间。</w:t>
      </w:r>
      <w:r>
        <w:rPr>
          <w:rFonts w:eastAsia="Songti SC"/>
          <w:color w:val="000000"/>
          <w:sz w:val="18"/>
          <w:lang w:eastAsia="zh-CN"/>
        </w:rPr>
        <w:t>M0</w:t>
      </w:r>
      <w:r>
        <w:rPr>
          <w:rFonts w:eastAsia="Songti SC"/>
          <w:color w:val="000000"/>
          <w:sz w:val="18"/>
          <w:lang w:eastAsia="zh-CN"/>
        </w:rPr>
        <w:t>只包含账号性别；</w:t>
      </w:r>
      <w:r>
        <w:rPr>
          <w:rFonts w:eastAsia="Songti SC"/>
          <w:color w:val="000000"/>
          <w:sz w:val="18"/>
          <w:lang w:eastAsia="zh-CN"/>
        </w:rPr>
        <w:t>M1</w:t>
      </w:r>
      <w:r>
        <w:rPr>
          <w:rFonts w:eastAsia="Songti SC"/>
          <w:color w:val="000000"/>
          <w:sz w:val="18"/>
          <w:lang w:eastAsia="zh-CN"/>
        </w:rPr>
        <w:t>加入经</w:t>
      </w:r>
      <w:r>
        <w:rPr>
          <w:rFonts w:eastAsia="Songti SC"/>
          <w:color w:val="000000"/>
          <w:sz w:val="18"/>
          <w:lang w:eastAsia="zh-CN"/>
        </w:rPr>
        <w:t>log(1+x)</w:t>
      </w:r>
      <w:r>
        <w:rPr>
          <w:rFonts w:eastAsia="Songti SC"/>
          <w:color w:val="000000"/>
          <w:sz w:val="18"/>
          <w:lang w:eastAsia="zh-CN"/>
        </w:rPr>
        <w:t>转换的全年发帖数和转发数、活跃天数及活跃月份；</w:t>
      </w:r>
      <w:r>
        <w:rPr>
          <w:rFonts w:eastAsia="Songti SC"/>
          <w:color w:val="000000"/>
          <w:sz w:val="18"/>
          <w:lang w:eastAsia="zh-CN"/>
        </w:rPr>
        <w:t>M2</w:t>
      </w:r>
      <w:r>
        <w:rPr>
          <w:rFonts w:eastAsia="Songti SC"/>
          <w:color w:val="000000"/>
          <w:sz w:val="18"/>
          <w:lang w:eastAsia="zh-CN"/>
        </w:rPr>
        <w:t>进一步加入认证状态、经</w:t>
      </w:r>
      <w:r>
        <w:rPr>
          <w:rFonts w:eastAsia="Songti SC"/>
          <w:color w:val="000000"/>
          <w:sz w:val="18"/>
          <w:lang w:eastAsia="zh-CN"/>
        </w:rPr>
        <w:t>log(1+x)</w:t>
      </w:r>
      <w:r>
        <w:rPr>
          <w:rFonts w:eastAsia="Songti SC"/>
          <w:color w:val="000000"/>
          <w:sz w:val="18"/>
          <w:lang w:eastAsia="zh-CN"/>
        </w:rPr>
        <w:t>转换的粉丝数和关注数及地区分类变量。</w:t>
      </w:r>
      <w:r>
        <w:rPr>
          <w:rFonts w:eastAsia="Songti SC"/>
          <w:color w:val="000000"/>
          <w:sz w:val="18"/>
          <w:lang w:eastAsia="zh-CN"/>
        </w:rPr>
        <w:t>M0</w:t>
      </w:r>
      <w:r>
        <w:rPr>
          <w:rFonts w:eastAsia="Songti SC"/>
          <w:color w:val="000000"/>
          <w:sz w:val="18"/>
          <w:lang w:eastAsia="zh-CN"/>
        </w:rPr>
        <w:t>和</w:t>
      </w:r>
      <w:r>
        <w:rPr>
          <w:rFonts w:eastAsia="Songti SC"/>
          <w:color w:val="000000"/>
          <w:sz w:val="18"/>
          <w:lang w:eastAsia="zh-CN"/>
        </w:rPr>
        <w:t>M1</w:t>
      </w:r>
      <w:r>
        <w:rPr>
          <w:rFonts w:eastAsia="Songti SC"/>
          <w:color w:val="000000"/>
          <w:sz w:val="18"/>
          <w:lang w:eastAsia="zh-CN"/>
        </w:rPr>
        <w:t>的信息消费样本量为</w:t>
      </w:r>
      <w:r>
        <w:rPr>
          <w:rFonts w:eastAsia="Songti SC"/>
          <w:color w:val="000000"/>
          <w:sz w:val="18"/>
          <w:lang w:eastAsia="zh-CN"/>
        </w:rPr>
        <w:t>225,339</w:t>
      </w:r>
      <w:r>
        <w:rPr>
          <w:rFonts w:eastAsia="Songti SC"/>
          <w:color w:val="000000"/>
          <w:sz w:val="18"/>
          <w:lang w:eastAsia="zh-CN"/>
        </w:rPr>
        <w:t>，内容表达样本量为</w:t>
      </w:r>
      <w:r>
        <w:rPr>
          <w:rFonts w:eastAsia="Songti SC"/>
          <w:color w:val="000000"/>
          <w:sz w:val="18"/>
          <w:lang w:eastAsia="zh-CN"/>
        </w:rPr>
        <w:t>224,302</w:t>
      </w:r>
      <w:r>
        <w:rPr>
          <w:rFonts w:eastAsia="Songti SC"/>
          <w:color w:val="000000"/>
          <w:sz w:val="18"/>
          <w:lang w:eastAsia="zh-CN"/>
        </w:rPr>
        <w:t>；</w:t>
      </w:r>
      <w:r>
        <w:rPr>
          <w:rFonts w:eastAsia="Songti SC"/>
          <w:color w:val="000000"/>
          <w:sz w:val="18"/>
          <w:lang w:eastAsia="zh-CN"/>
        </w:rPr>
        <w:t>M2</w:t>
      </w:r>
      <w:r>
        <w:rPr>
          <w:rFonts w:eastAsia="Songti SC"/>
          <w:color w:val="000000"/>
          <w:sz w:val="18"/>
          <w:lang w:eastAsia="zh-CN"/>
        </w:rPr>
        <w:t>分别为</w:t>
      </w:r>
      <w:r>
        <w:rPr>
          <w:rFonts w:eastAsia="Songti SC"/>
          <w:color w:val="000000"/>
          <w:sz w:val="18"/>
          <w:lang w:eastAsia="zh-CN"/>
        </w:rPr>
        <w:t>155,977</w:t>
      </w:r>
      <w:r>
        <w:rPr>
          <w:rFonts w:eastAsia="Songti SC"/>
          <w:color w:val="000000"/>
          <w:sz w:val="18"/>
          <w:lang w:eastAsia="zh-CN"/>
        </w:rPr>
        <w:t>和</w:t>
      </w:r>
      <w:r>
        <w:rPr>
          <w:rFonts w:eastAsia="Songti SC"/>
          <w:color w:val="000000"/>
          <w:sz w:val="18"/>
          <w:lang w:eastAsia="zh-CN"/>
        </w:rPr>
        <w:t>155,230</w:t>
      </w:r>
      <w:r>
        <w:rPr>
          <w:rFonts w:eastAsia="Songti SC"/>
          <w:color w:val="000000"/>
          <w:sz w:val="18"/>
          <w:lang w:eastAsia="zh-CN"/>
        </w:rPr>
        <w:t>。</w:t>
      </w:r>
    </w:p>
    <w:p w14:paraId="79AA3FC2" w14:textId="77777777" w:rsidR="004D6C43" w:rsidRDefault="00000000">
      <w:pPr>
        <w:keepNext/>
        <w:spacing w:before="120" w:after="240"/>
        <w:jc w:val="center"/>
      </w:pPr>
      <w:r>
        <w:rPr>
          <w:noProof/>
        </w:rPr>
        <w:lastRenderedPageBreak/>
        <w:drawing>
          <wp:inline distT="0" distB="0" distL="0" distR="0" wp14:anchorId="6F8D09F8" wp14:editId="10C46E2D">
            <wp:extent cx="5623560" cy="2294909"/>
            <wp:effectExtent l="0" t="0" r="0" b="0"/>
            <wp:docPr id="2" name="Picture 2" descr="图2 不同比较条件下的性别差异" title="图2 不同比较条件下的性别差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819_fig2_adjusted_effects.png"/>
                    <pic:cNvPicPr/>
                  </pic:nvPicPr>
                  <pic:blipFill>
                    <a:blip r:embed="rId9"/>
                    <a:stretch>
                      <a:fillRect/>
                    </a:stretch>
                  </pic:blipFill>
                  <pic:spPr>
                    <a:xfrm>
                      <a:off x="0" y="0"/>
                      <a:ext cx="5623560" cy="2294909"/>
                    </a:xfrm>
                    <a:prstGeom prst="rect">
                      <a:avLst/>
                    </a:prstGeom>
                  </pic:spPr>
                </pic:pic>
              </a:graphicData>
            </a:graphic>
          </wp:inline>
        </w:drawing>
      </w:r>
    </w:p>
    <w:p w14:paraId="135CDCE1" w14:textId="77777777" w:rsidR="004D6C43" w:rsidRDefault="00000000">
      <w:pPr>
        <w:pStyle w:val="af7"/>
        <w:keepLines/>
        <w:spacing w:before="120" w:after="240"/>
        <w:jc w:val="center"/>
        <w:rPr>
          <w:lang w:eastAsia="zh-CN"/>
        </w:rPr>
      </w:pPr>
      <w:r>
        <w:rPr>
          <w:lang w:eastAsia="zh-CN"/>
        </w:rPr>
        <w:t>图</w:t>
      </w:r>
      <w:r>
        <w:rPr>
          <w:lang w:eastAsia="zh-CN"/>
        </w:rPr>
        <w:t xml:space="preserve">2 </w:t>
      </w:r>
      <w:r>
        <w:rPr>
          <w:lang w:eastAsia="zh-CN"/>
        </w:rPr>
        <w:t>不同比较条件下的性别差异</w:t>
      </w:r>
    </w:p>
    <w:p w14:paraId="6C9270B0" w14:textId="77777777" w:rsidR="004D6C43" w:rsidRDefault="00000000">
      <w:pPr>
        <w:spacing w:before="120" w:after="240"/>
        <w:jc w:val="both"/>
        <w:rPr>
          <w:lang w:eastAsia="zh-CN"/>
        </w:rPr>
      </w:pPr>
      <w:r>
        <w:rPr>
          <w:rFonts w:eastAsia="Songti SC"/>
          <w:color w:val="000000"/>
          <w:lang w:eastAsia="zh-CN"/>
        </w:rPr>
        <w:t>控制账号使用频率后，两个领域仍保持相反的性别方向。公共事务信息消费中的男性优势由</w:t>
      </w:r>
      <w:r>
        <w:rPr>
          <w:rFonts w:eastAsia="Songti SC"/>
          <w:color w:val="000000"/>
          <w:lang w:eastAsia="zh-CN"/>
        </w:rPr>
        <w:t>1.80</w:t>
      </w:r>
      <w:r>
        <w:rPr>
          <w:rFonts w:eastAsia="Songti SC"/>
          <w:color w:val="000000"/>
          <w:lang w:eastAsia="zh-CN"/>
        </w:rPr>
        <w:t>个百分点扩大到</w:t>
      </w:r>
      <w:r>
        <w:rPr>
          <w:rFonts w:eastAsia="Songti SC"/>
          <w:color w:val="000000"/>
          <w:lang w:eastAsia="zh-CN"/>
        </w:rPr>
        <w:t>3.59</w:t>
      </w:r>
      <w:r>
        <w:rPr>
          <w:rFonts w:eastAsia="Songti SC"/>
          <w:color w:val="000000"/>
          <w:lang w:eastAsia="zh-CN"/>
        </w:rPr>
        <w:t>个百分点，反映女性账号较高的总体转发量与未调整差异之间的关系；公共事务内容表达的差异由</w:t>
      </w:r>
      <w:r>
        <w:rPr>
          <w:rFonts w:eastAsia="Songti SC"/>
          <w:color w:val="000000"/>
          <w:lang w:eastAsia="zh-CN"/>
        </w:rPr>
        <w:t>12.56</w:t>
      </w:r>
      <w:r>
        <w:rPr>
          <w:rFonts w:eastAsia="Songti SC"/>
          <w:color w:val="000000"/>
          <w:lang w:eastAsia="zh-CN"/>
        </w:rPr>
        <w:t>个百分点缩小到</w:t>
      </w:r>
      <w:r>
        <w:rPr>
          <w:rFonts w:eastAsia="Songti SC"/>
          <w:color w:val="000000"/>
          <w:lang w:eastAsia="zh-CN"/>
        </w:rPr>
        <w:t>9.75</w:t>
      </w:r>
      <w:r>
        <w:rPr>
          <w:rFonts w:eastAsia="Songti SC"/>
          <w:color w:val="000000"/>
          <w:lang w:eastAsia="zh-CN"/>
        </w:rPr>
        <w:t>个百分点，反映总体发帖结构与内容差异之间的关系。账号使用频率与估计幅度密切相关，而性别化的领域配置在平台使用程度相近的账号中依然清晰。</w:t>
      </w:r>
    </w:p>
    <w:p w14:paraId="48F9FEAE" w14:textId="77777777" w:rsidR="004D6C43" w:rsidRDefault="00000000">
      <w:pPr>
        <w:pStyle w:val="21"/>
        <w:spacing w:before="120" w:after="240"/>
        <w:rPr>
          <w:lang w:eastAsia="zh-CN"/>
        </w:rPr>
      </w:pPr>
      <w:r>
        <w:rPr>
          <w:rFonts w:ascii="Times New Roman" w:eastAsia="Heiti SC" w:hAnsi="Times New Roman"/>
          <w:lang w:eastAsia="zh-CN"/>
        </w:rPr>
        <w:t>（二）性别差异随信息领域而改变</w:t>
      </w:r>
    </w:p>
    <w:p w14:paraId="39AC44E2" w14:textId="77777777" w:rsidR="004D6C43" w:rsidRDefault="00000000">
      <w:pPr>
        <w:spacing w:before="120" w:after="240"/>
        <w:jc w:val="both"/>
        <w:rPr>
          <w:lang w:eastAsia="zh-CN"/>
        </w:rPr>
      </w:pPr>
      <w:r>
        <w:rPr>
          <w:rFonts w:eastAsia="Songti SC"/>
          <w:color w:val="000000"/>
          <w:lang w:eastAsia="zh-CN"/>
        </w:rPr>
        <w:t>图</w:t>
      </w:r>
      <w:r>
        <w:rPr>
          <w:rFonts w:eastAsia="Songti SC"/>
          <w:color w:val="000000"/>
          <w:lang w:eastAsia="zh-CN"/>
        </w:rPr>
        <w:t>3</w:t>
      </w:r>
      <w:r>
        <w:rPr>
          <w:rFonts w:eastAsia="Songti SC"/>
          <w:color w:val="000000"/>
          <w:lang w:eastAsia="zh-CN"/>
        </w:rPr>
        <w:t>把两个领域放入同一交互模型，检验同一种参与方式中的性别差异如何随领域变化。控制账号使用频率后，信息消费中的领域距离为</w:t>
      </w:r>
      <w:r>
        <w:rPr>
          <w:rFonts w:eastAsia="Songti SC"/>
          <w:color w:val="000000"/>
          <w:lang w:eastAsia="zh-CN"/>
        </w:rPr>
        <w:t>5.16</w:t>
      </w:r>
      <w:r>
        <w:rPr>
          <w:rFonts w:eastAsia="Songti SC"/>
          <w:color w:val="000000"/>
          <w:lang w:eastAsia="zh-CN"/>
        </w:rPr>
        <w:t>个百分点，</w:t>
      </w:r>
      <w:r>
        <w:rPr>
          <w:rFonts w:eastAsia="Songti SC"/>
          <w:color w:val="000000"/>
          <w:lang w:eastAsia="zh-CN"/>
        </w:rPr>
        <w:t>95%</w:t>
      </w:r>
      <w:r>
        <w:rPr>
          <w:rFonts w:eastAsia="Songti SC"/>
          <w:color w:val="000000"/>
          <w:lang w:eastAsia="zh-CN"/>
        </w:rPr>
        <w:t>置信区间为</w:t>
      </w:r>
      <w:r>
        <w:rPr>
          <w:rFonts w:eastAsia="Songti SC"/>
          <w:color w:val="000000"/>
          <w:lang w:eastAsia="zh-CN"/>
        </w:rPr>
        <w:t>[4.78, 5.55]</w:t>
      </w:r>
      <w:r>
        <w:rPr>
          <w:rFonts w:eastAsia="Songti SC"/>
          <w:color w:val="000000"/>
          <w:lang w:eastAsia="zh-CN"/>
        </w:rPr>
        <w:t>；内容表达中的领域距离为</w:t>
      </w:r>
      <w:r>
        <w:rPr>
          <w:rFonts w:eastAsia="Songti SC"/>
          <w:color w:val="000000"/>
          <w:lang w:eastAsia="zh-CN"/>
        </w:rPr>
        <w:t>15.29</w:t>
      </w:r>
      <w:r>
        <w:rPr>
          <w:rFonts w:eastAsia="Songti SC"/>
          <w:color w:val="000000"/>
          <w:lang w:eastAsia="zh-CN"/>
        </w:rPr>
        <w:t>个百分点，</w:t>
      </w:r>
      <w:r>
        <w:rPr>
          <w:rFonts w:eastAsia="Songti SC"/>
          <w:color w:val="000000"/>
          <w:lang w:eastAsia="zh-CN"/>
        </w:rPr>
        <w:t>95%</w:t>
      </w:r>
      <w:r>
        <w:rPr>
          <w:rFonts w:eastAsia="Songti SC"/>
          <w:color w:val="000000"/>
          <w:lang w:eastAsia="zh-CN"/>
        </w:rPr>
        <w:t>置信区间为</w:t>
      </w:r>
      <w:r>
        <w:rPr>
          <w:rFonts w:eastAsia="Songti SC"/>
          <w:color w:val="000000"/>
          <w:lang w:eastAsia="zh-CN"/>
        </w:rPr>
        <w:t>[15.04, 15.54]</w:t>
      </w:r>
      <w:r>
        <w:rPr>
          <w:rFonts w:eastAsia="Songti SC"/>
          <w:color w:val="000000"/>
          <w:lang w:eastAsia="zh-CN"/>
        </w:rPr>
        <w:t>。两项结果都显示，从公共事务领域转向明星文化领域时，男性账号相对于女性账号的参与位置发生显著变化。</w:t>
      </w:r>
    </w:p>
    <w:p w14:paraId="20DB6C9E" w14:textId="77777777" w:rsidR="004D6C43" w:rsidRDefault="00000000">
      <w:pPr>
        <w:keepNext/>
        <w:spacing w:before="120" w:after="240"/>
        <w:jc w:val="center"/>
        <w:rPr>
          <w:lang w:eastAsia="zh-CN"/>
        </w:rPr>
      </w:pPr>
      <w:r>
        <w:rPr>
          <w:rFonts w:eastAsia="Songti SC"/>
          <w:b/>
          <w:color w:val="000000"/>
          <w:lang w:eastAsia="zh-CN"/>
        </w:rPr>
        <w:t>表</w:t>
      </w:r>
      <w:r>
        <w:rPr>
          <w:rFonts w:eastAsia="Songti SC"/>
          <w:b/>
          <w:color w:val="000000"/>
          <w:lang w:eastAsia="zh-CN"/>
        </w:rPr>
        <w:t xml:space="preserve">3 </w:t>
      </w:r>
      <w:r>
        <w:rPr>
          <w:rFonts w:eastAsia="Songti SC"/>
          <w:b/>
          <w:color w:val="000000"/>
          <w:lang w:eastAsia="zh-CN"/>
        </w:rPr>
        <w:t>公共事务与明星文化之间的性别差异距离</w:t>
      </w:r>
    </w:p>
    <w:tbl>
      <w:tblPr>
        <w:tblW w:w="8812" w:type="dxa"/>
        <w:jc w:val="center"/>
        <w:tblLayout w:type="fixed"/>
        <w:tblLook w:val="04A0" w:firstRow="1" w:lastRow="0" w:firstColumn="1" w:lastColumn="0" w:noHBand="0" w:noVBand="1"/>
      </w:tblPr>
      <w:tblGrid>
        <w:gridCol w:w="3052"/>
        <w:gridCol w:w="2880"/>
        <w:gridCol w:w="2880"/>
      </w:tblGrid>
      <w:tr w:rsidR="004D6C43" w14:paraId="062CF7C7" w14:textId="77777777">
        <w:trPr>
          <w:cantSplit/>
          <w:tblHeader/>
          <w:jc w:val="center"/>
        </w:trPr>
        <w:tc>
          <w:tcPr>
            <w:tcW w:w="3052" w:type="dxa"/>
            <w:tcBorders>
              <w:top w:val="single" w:sz="12" w:space="0" w:color="000000"/>
              <w:left w:val="nil"/>
              <w:bottom w:val="single" w:sz="6" w:space="0" w:color="000000"/>
              <w:right w:val="nil"/>
            </w:tcBorders>
            <w:tcMar>
              <w:top w:w="80" w:type="dxa"/>
              <w:left w:w="90" w:type="dxa"/>
              <w:bottom w:w="80" w:type="dxa"/>
              <w:right w:w="90" w:type="dxa"/>
            </w:tcMar>
            <w:vAlign w:val="center"/>
          </w:tcPr>
          <w:p w14:paraId="1CE2AD10" w14:textId="77777777" w:rsidR="004D6C43" w:rsidRDefault="00000000">
            <w:pPr>
              <w:keepNext/>
              <w:keepLines/>
              <w:spacing w:before="120" w:after="240" w:line="252" w:lineRule="auto"/>
              <w:ind w:firstLine="0"/>
            </w:pPr>
            <w:r>
              <w:rPr>
                <w:rFonts w:eastAsia="Songti SC"/>
                <w:b/>
                <w:color w:val="000000"/>
              </w:rPr>
              <w:t>比较条件</w:t>
            </w:r>
          </w:p>
        </w:tc>
        <w:tc>
          <w:tcPr>
            <w:tcW w:w="2880" w:type="dxa"/>
            <w:tcBorders>
              <w:top w:val="single" w:sz="12" w:space="0" w:color="000000"/>
              <w:left w:val="nil"/>
              <w:bottom w:val="single" w:sz="6" w:space="0" w:color="000000"/>
              <w:right w:val="nil"/>
            </w:tcBorders>
            <w:tcMar>
              <w:top w:w="80" w:type="dxa"/>
              <w:left w:w="90" w:type="dxa"/>
              <w:bottom w:w="80" w:type="dxa"/>
              <w:right w:w="90" w:type="dxa"/>
            </w:tcMar>
            <w:vAlign w:val="center"/>
          </w:tcPr>
          <w:p w14:paraId="3F15F31D" w14:textId="77777777" w:rsidR="004D6C43" w:rsidRDefault="00000000">
            <w:pPr>
              <w:keepNext/>
              <w:keepLines/>
              <w:spacing w:before="120" w:after="240" w:line="252" w:lineRule="auto"/>
              <w:ind w:firstLine="0"/>
              <w:jc w:val="center"/>
            </w:pPr>
            <w:r>
              <w:rPr>
                <w:rFonts w:eastAsia="Songti SC"/>
                <w:b/>
                <w:color w:val="000000"/>
              </w:rPr>
              <w:t>信息消费的领域距离</w:t>
            </w:r>
          </w:p>
        </w:tc>
        <w:tc>
          <w:tcPr>
            <w:tcW w:w="2880" w:type="dxa"/>
            <w:tcBorders>
              <w:top w:val="single" w:sz="12" w:space="0" w:color="000000"/>
              <w:left w:val="nil"/>
              <w:bottom w:val="single" w:sz="6" w:space="0" w:color="000000"/>
              <w:right w:val="nil"/>
            </w:tcBorders>
            <w:tcMar>
              <w:top w:w="80" w:type="dxa"/>
              <w:left w:w="90" w:type="dxa"/>
              <w:bottom w:w="80" w:type="dxa"/>
              <w:right w:w="90" w:type="dxa"/>
            </w:tcMar>
            <w:vAlign w:val="center"/>
          </w:tcPr>
          <w:p w14:paraId="481C7122" w14:textId="77777777" w:rsidR="004D6C43" w:rsidRDefault="00000000">
            <w:pPr>
              <w:keepNext/>
              <w:keepLines/>
              <w:spacing w:before="120" w:after="240" w:line="252" w:lineRule="auto"/>
              <w:ind w:firstLine="0"/>
              <w:jc w:val="center"/>
            </w:pPr>
            <w:r>
              <w:rPr>
                <w:rFonts w:eastAsia="Songti SC"/>
                <w:b/>
                <w:color w:val="000000"/>
              </w:rPr>
              <w:t>内容表达的领域距离</w:t>
            </w:r>
          </w:p>
        </w:tc>
      </w:tr>
      <w:tr w:rsidR="004D6C43" w14:paraId="4C2A132C" w14:textId="77777777">
        <w:trPr>
          <w:cantSplit/>
          <w:jc w:val="center"/>
        </w:trPr>
        <w:tc>
          <w:tcPr>
            <w:tcW w:w="3052" w:type="dxa"/>
            <w:tcBorders>
              <w:top w:val="nil"/>
              <w:left w:val="nil"/>
              <w:bottom w:val="nil"/>
              <w:right w:val="nil"/>
            </w:tcBorders>
            <w:tcMar>
              <w:top w:w="80" w:type="dxa"/>
              <w:left w:w="90" w:type="dxa"/>
              <w:bottom w:w="80" w:type="dxa"/>
              <w:right w:w="90" w:type="dxa"/>
            </w:tcMar>
            <w:vAlign w:val="center"/>
          </w:tcPr>
          <w:p w14:paraId="062A3948" w14:textId="77777777" w:rsidR="004D6C43" w:rsidRDefault="00000000">
            <w:pPr>
              <w:keepNext/>
              <w:keepLines/>
              <w:spacing w:before="120" w:after="240" w:line="252" w:lineRule="auto"/>
              <w:ind w:firstLine="0"/>
            </w:pPr>
            <w:r>
              <w:rPr>
                <w:rFonts w:eastAsia="Songti SC"/>
                <w:color w:val="000000"/>
              </w:rPr>
              <w:t>M0</w:t>
            </w:r>
            <w:r>
              <w:rPr>
                <w:rFonts w:eastAsia="Songti SC"/>
                <w:color w:val="000000"/>
              </w:rPr>
              <w:t>（未调整模型）</w:t>
            </w:r>
          </w:p>
        </w:tc>
        <w:tc>
          <w:tcPr>
            <w:tcW w:w="2880" w:type="dxa"/>
            <w:tcBorders>
              <w:top w:val="nil"/>
              <w:left w:val="nil"/>
              <w:bottom w:val="nil"/>
              <w:right w:val="nil"/>
            </w:tcBorders>
            <w:tcMar>
              <w:top w:w="80" w:type="dxa"/>
              <w:left w:w="90" w:type="dxa"/>
              <w:bottom w:w="80" w:type="dxa"/>
              <w:right w:w="90" w:type="dxa"/>
            </w:tcMar>
            <w:vAlign w:val="center"/>
          </w:tcPr>
          <w:p w14:paraId="1CE4242C" w14:textId="77777777" w:rsidR="004D6C43" w:rsidRDefault="00000000">
            <w:pPr>
              <w:keepNext/>
              <w:keepLines/>
              <w:spacing w:before="120" w:after="240" w:line="252" w:lineRule="auto"/>
              <w:ind w:firstLine="0"/>
              <w:jc w:val="center"/>
            </w:pPr>
            <w:r>
              <w:rPr>
                <w:rFonts w:eastAsia="Songti SC"/>
                <w:color w:val="000000"/>
              </w:rPr>
              <w:t>4.15 [3.79, 4.51]</w:t>
            </w:r>
          </w:p>
        </w:tc>
        <w:tc>
          <w:tcPr>
            <w:tcW w:w="2880" w:type="dxa"/>
            <w:tcBorders>
              <w:top w:val="nil"/>
              <w:left w:val="nil"/>
              <w:bottom w:val="nil"/>
              <w:right w:val="nil"/>
            </w:tcBorders>
            <w:tcMar>
              <w:top w:w="80" w:type="dxa"/>
              <w:left w:w="90" w:type="dxa"/>
              <w:bottom w:w="80" w:type="dxa"/>
              <w:right w:w="90" w:type="dxa"/>
            </w:tcMar>
            <w:vAlign w:val="center"/>
          </w:tcPr>
          <w:p w14:paraId="774C7B7B" w14:textId="77777777" w:rsidR="004D6C43" w:rsidRDefault="00000000">
            <w:pPr>
              <w:keepNext/>
              <w:keepLines/>
              <w:spacing w:before="120" w:after="240" w:line="252" w:lineRule="auto"/>
              <w:ind w:firstLine="0"/>
              <w:jc w:val="center"/>
            </w:pPr>
            <w:r>
              <w:rPr>
                <w:rFonts w:eastAsia="Songti SC"/>
                <w:color w:val="000000"/>
              </w:rPr>
              <w:t>16.28 [16.01, 16.56]</w:t>
            </w:r>
          </w:p>
        </w:tc>
      </w:tr>
      <w:tr w:rsidR="004D6C43" w14:paraId="02C4BC42" w14:textId="77777777">
        <w:trPr>
          <w:cantSplit/>
          <w:jc w:val="center"/>
        </w:trPr>
        <w:tc>
          <w:tcPr>
            <w:tcW w:w="3052" w:type="dxa"/>
            <w:tcBorders>
              <w:top w:val="nil"/>
              <w:left w:val="nil"/>
              <w:bottom w:val="nil"/>
              <w:right w:val="nil"/>
            </w:tcBorders>
            <w:tcMar>
              <w:top w:w="80" w:type="dxa"/>
              <w:left w:w="90" w:type="dxa"/>
              <w:bottom w:w="80" w:type="dxa"/>
              <w:right w:w="90" w:type="dxa"/>
            </w:tcMar>
            <w:vAlign w:val="center"/>
          </w:tcPr>
          <w:p w14:paraId="052E51A2" w14:textId="77777777" w:rsidR="004D6C43" w:rsidRDefault="00000000">
            <w:pPr>
              <w:keepNext/>
              <w:keepLines/>
              <w:spacing w:before="120" w:after="240" w:line="252" w:lineRule="auto"/>
              <w:ind w:firstLine="0"/>
              <w:rPr>
                <w:lang w:eastAsia="zh-CN"/>
              </w:rPr>
            </w:pPr>
            <w:r>
              <w:rPr>
                <w:rFonts w:eastAsia="Songti SC"/>
                <w:color w:val="000000"/>
                <w:lang w:eastAsia="zh-CN"/>
              </w:rPr>
              <w:t>M1</w:t>
            </w:r>
            <w:r>
              <w:rPr>
                <w:rFonts w:eastAsia="Songti SC"/>
                <w:color w:val="000000"/>
                <w:lang w:eastAsia="zh-CN"/>
              </w:rPr>
              <w:t>（活跃度调整模型，主要模型）</w:t>
            </w:r>
          </w:p>
        </w:tc>
        <w:tc>
          <w:tcPr>
            <w:tcW w:w="2880" w:type="dxa"/>
            <w:tcBorders>
              <w:top w:val="nil"/>
              <w:left w:val="nil"/>
              <w:bottom w:val="nil"/>
              <w:right w:val="nil"/>
            </w:tcBorders>
            <w:tcMar>
              <w:top w:w="80" w:type="dxa"/>
              <w:left w:w="90" w:type="dxa"/>
              <w:bottom w:w="80" w:type="dxa"/>
              <w:right w:w="90" w:type="dxa"/>
            </w:tcMar>
            <w:vAlign w:val="center"/>
          </w:tcPr>
          <w:p w14:paraId="5CFE74BD" w14:textId="77777777" w:rsidR="004D6C43" w:rsidRDefault="00000000">
            <w:pPr>
              <w:keepNext/>
              <w:keepLines/>
              <w:spacing w:before="120" w:after="240" w:line="252" w:lineRule="auto"/>
              <w:ind w:firstLine="0"/>
              <w:jc w:val="center"/>
            </w:pPr>
            <w:r>
              <w:rPr>
                <w:rFonts w:eastAsia="Songti SC"/>
                <w:color w:val="000000"/>
              </w:rPr>
              <w:t>5.16 [4.78, 5.55]</w:t>
            </w:r>
          </w:p>
        </w:tc>
        <w:tc>
          <w:tcPr>
            <w:tcW w:w="2880" w:type="dxa"/>
            <w:tcBorders>
              <w:top w:val="nil"/>
              <w:left w:val="nil"/>
              <w:bottom w:val="nil"/>
              <w:right w:val="nil"/>
            </w:tcBorders>
            <w:tcMar>
              <w:top w:w="80" w:type="dxa"/>
              <w:left w:w="90" w:type="dxa"/>
              <w:bottom w:w="80" w:type="dxa"/>
              <w:right w:w="90" w:type="dxa"/>
            </w:tcMar>
            <w:vAlign w:val="center"/>
          </w:tcPr>
          <w:p w14:paraId="28D15C0A" w14:textId="77777777" w:rsidR="004D6C43" w:rsidRDefault="00000000">
            <w:pPr>
              <w:keepNext/>
              <w:keepLines/>
              <w:spacing w:before="120" w:after="240" w:line="252" w:lineRule="auto"/>
              <w:ind w:firstLine="0"/>
              <w:jc w:val="center"/>
            </w:pPr>
            <w:r>
              <w:rPr>
                <w:rFonts w:eastAsia="Songti SC"/>
                <w:color w:val="000000"/>
              </w:rPr>
              <w:t>15.29 [15.04, 15.54]</w:t>
            </w:r>
          </w:p>
        </w:tc>
      </w:tr>
      <w:tr w:rsidR="004D6C43" w14:paraId="26383365" w14:textId="77777777">
        <w:trPr>
          <w:cantSplit/>
          <w:jc w:val="center"/>
        </w:trPr>
        <w:tc>
          <w:tcPr>
            <w:tcW w:w="3052" w:type="dxa"/>
            <w:tcBorders>
              <w:left w:val="nil"/>
              <w:bottom w:val="single" w:sz="12" w:space="0" w:color="000000"/>
              <w:right w:val="nil"/>
            </w:tcBorders>
            <w:tcMar>
              <w:top w:w="80" w:type="dxa"/>
              <w:left w:w="90" w:type="dxa"/>
              <w:bottom w:w="80" w:type="dxa"/>
              <w:right w:w="90" w:type="dxa"/>
            </w:tcMar>
            <w:vAlign w:val="center"/>
          </w:tcPr>
          <w:p w14:paraId="5076F489" w14:textId="77777777" w:rsidR="004D6C43" w:rsidRDefault="00000000">
            <w:pPr>
              <w:keepLines/>
              <w:spacing w:before="120" w:after="240" w:line="252" w:lineRule="auto"/>
              <w:ind w:firstLine="0"/>
              <w:rPr>
                <w:lang w:eastAsia="zh-CN"/>
              </w:rPr>
            </w:pPr>
            <w:r>
              <w:rPr>
                <w:rFonts w:eastAsia="Songti SC"/>
                <w:color w:val="000000"/>
                <w:lang w:eastAsia="zh-CN"/>
              </w:rPr>
              <w:t>M2</w:t>
            </w:r>
            <w:r>
              <w:rPr>
                <w:rFonts w:eastAsia="Songti SC"/>
                <w:color w:val="000000"/>
                <w:lang w:eastAsia="zh-CN"/>
              </w:rPr>
              <w:t>（账号资料扩展模型）</w:t>
            </w:r>
          </w:p>
        </w:tc>
        <w:tc>
          <w:tcPr>
            <w:tcW w:w="2880" w:type="dxa"/>
            <w:tcBorders>
              <w:left w:val="nil"/>
              <w:bottom w:val="single" w:sz="12" w:space="0" w:color="000000"/>
              <w:right w:val="nil"/>
            </w:tcBorders>
            <w:tcMar>
              <w:top w:w="80" w:type="dxa"/>
              <w:left w:w="90" w:type="dxa"/>
              <w:bottom w:w="80" w:type="dxa"/>
              <w:right w:w="90" w:type="dxa"/>
            </w:tcMar>
            <w:vAlign w:val="center"/>
          </w:tcPr>
          <w:p w14:paraId="7E900D53" w14:textId="77777777" w:rsidR="004D6C43" w:rsidRDefault="00000000">
            <w:pPr>
              <w:keepLines/>
              <w:spacing w:before="120" w:after="240" w:line="252" w:lineRule="auto"/>
              <w:ind w:firstLine="0"/>
              <w:jc w:val="center"/>
            </w:pPr>
            <w:r>
              <w:rPr>
                <w:rFonts w:eastAsia="Songti SC"/>
                <w:color w:val="000000"/>
              </w:rPr>
              <w:t>6.39 [5.94, 6.84]</w:t>
            </w:r>
          </w:p>
        </w:tc>
        <w:tc>
          <w:tcPr>
            <w:tcW w:w="2880" w:type="dxa"/>
            <w:tcBorders>
              <w:left w:val="nil"/>
              <w:bottom w:val="single" w:sz="12" w:space="0" w:color="000000"/>
              <w:right w:val="nil"/>
            </w:tcBorders>
            <w:tcMar>
              <w:top w:w="80" w:type="dxa"/>
              <w:left w:w="90" w:type="dxa"/>
              <w:bottom w:w="80" w:type="dxa"/>
              <w:right w:w="90" w:type="dxa"/>
            </w:tcMar>
            <w:vAlign w:val="center"/>
          </w:tcPr>
          <w:p w14:paraId="775C2D06" w14:textId="77777777" w:rsidR="004D6C43" w:rsidRDefault="00000000">
            <w:pPr>
              <w:keepLines/>
              <w:spacing w:before="120" w:after="240" w:line="252" w:lineRule="auto"/>
              <w:ind w:firstLine="0"/>
              <w:jc w:val="center"/>
            </w:pPr>
            <w:r>
              <w:rPr>
                <w:rFonts w:eastAsia="Songti SC"/>
                <w:color w:val="000000"/>
              </w:rPr>
              <w:t>17.50 [17.21, 17.79]</w:t>
            </w:r>
          </w:p>
        </w:tc>
      </w:tr>
    </w:tbl>
    <w:p w14:paraId="5518790A" w14:textId="77777777" w:rsidR="004D6C43" w:rsidRDefault="004D6C43">
      <w:pPr>
        <w:spacing w:before="120" w:after="240"/>
      </w:pPr>
    </w:p>
    <w:p w14:paraId="26E85C30" w14:textId="77777777" w:rsidR="004D6C43" w:rsidRDefault="00000000">
      <w:pPr>
        <w:spacing w:before="120" w:after="240"/>
        <w:ind w:left="420" w:right="420" w:firstLine="0"/>
        <w:jc w:val="both"/>
        <w:rPr>
          <w:lang w:eastAsia="zh-CN"/>
        </w:rPr>
      </w:pPr>
      <w:r>
        <w:rPr>
          <w:rFonts w:eastAsia="Songti SC"/>
          <w:color w:val="000000"/>
          <w:sz w:val="18"/>
          <w:lang w:eastAsia="zh-CN"/>
        </w:rPr>
        <w:t>注：领域距离＝公共事务中的男性</w:t>
      </w:r>
      <w:r>
        <w:rPr>
          <w:rFonts w:eastAsia="Songti SC"/>
          <w:color w:val="000000"/>
          <w:sz w:val="18"/>
          <w:lang w:eastAsia="zh-CN"/>
        </w:rPr>
        <w:t>-</w:t>
      </w:r>
      <w:r>
        <w:rPr>
          <w:rFonts w:eastAsia="Songti SC"/>
          <w:color w:val="000000"/>
          <w:sz w:val="18"/>
          <w:lang w:eastAsia="zh-CN"/>
        </w:rPr>
        <w:t>女性差异－明星文化中的男性</w:t>
      </w:r>
      <w:r>
        <w:rPr>
          <w:rFonts w:eastAsia="Songti SC"/>
          <w:color w:val="000000"/>
          <w:sz w:val="18"/>
          <w:lang w:eastAsia="zh-CN"/>
        </w:rPr>
        <w:t>-</w:t>
      </w:r>
      <w:r>
        <w:rPr>
          <w:rFonts w:eastAsia="Songti SC"/>
          <w:color w:val="000000"/>
          <w:sz w:val="18"/>
          <w:lang w:eastAsia="zh-CN"/>
        </w:rPr>
        <w:t>女性差异，单位为百分点。正值表示性别差异更偏向公共事务。</w:t>
      </w:r>
    </w:p>
    <w:p w14:paraId="3B2551F6" w14:textId="77777777" w:rsidR="004D6C43" w:rsidRDefault="00000000">
      <w:pPr>
        <w:keepNext/>
        <w:spacing w:before="120" w:after="240"/>
        <w:jc w:val="center"/>
      </w:pPr>
      <w:r>
        <w:rPr>
          <w:noProof/>
        </w:rPr>
        <w:drawing>
          <wp:inline distT="0" distB="0" distL="0" distR="0" wp14:anchorId="5AC36A38" wp14:editId="15CED730">
            <wp:extent cx="5623560" cy="2519948"/>
            <wp:effectExtent l="0" t="0" r="0" b="0"/>
            <wp:docPr id="3" name="Picture 3" descr="图3 性别与信息领域的交互结果" title="图3 性别与信息领域的交互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819_fig3_interaction.png"/>
                    <pic:cNvPicPr/>
                  </pic:nvPicPr>
                  <pic:blipFill>
                    <a:blip r:embed="rId10"/>
                    <a:stretch>
                      <a:fillRect/>
                    </a:stretch>
                  </pic:blipFill>
                  <pic:spPr>
                    <a:xfrm>
                      <a:off x="0" y="0"/>
                      <a:ext cx="5623560" cy="2519948"/>
                    </a:xfrm>
                    <a:prstGeom prst="rect">
                      <a:avLst/>
                    </a:prstGeom>
                  </pic:spPr>
                </pic:pic>
              </a:graphicData>
            </a:graphic>
          </wp:inline>
        </w:drawing>
      </w:r>
    </w:p>
    <w:p w14:paraId="21C630DF" w14:textId="77777777" w:rsidR="004D6C43" w:rsidRDefault="00000000">
      <w:pPr>
        <w:pStyle w:val="af7"/>
        <w:keepLines/>
        <w:spacing w:before="120" w:after="240"/>
        <w:jc w:val="center"/>
        <w:rPr>
          <w:lang w:eastAsia="zh-CN"/>
        </w:rPr>
      </w:pPr>
      <w:r>
        <w:rPr>
          <w:lang w:eastAsia="zh-CN"/>
        </w:rPr>
        <w:t>图</w:t>
      </w:r>
      <w:r>
        <w:rPr>
          <w:lang w:eastAsia="zh-CN"/>
        </w:rPr>
        <w:t xml:space="preserve">3 </w:t>
      </w:r>
      <w:r>
        <w:rPr>
          <w:lang w:eastAsia="zh-CN"/>
        </w:rPr>
        <w:t>性别与信息领域的交互结果</w:t>
      </w:r>
    </w:p>
    <w:p w14:paraId="4B4DA112" w14:textId="77777777" w:rsidR="004D6C43" w:rsidRDefault="00000000">
      <w:pPr>
        <w:spacing w:before="120" w:after="240"/>
        <w:jc w:val="both"/>
        <w:rPr>
          <w:lang w:eastAsia="zh-CN"/>
        </w:rPr>
      </w:pPr>
      <w:r>
        <w:rPr>
          <w:rFonts w:eastAsia="Songti SC"/>
          <w:color w:val="000000"/>
          <w:lang w:eastAsia="zh-CN"/>
        </w:rPr>
        <w:t>交互结果进一步确认了两个领域相反的性别方向。男性账号在公共事务领域处于相对优势位置，女性账号在明星文化领域处于相对优势位置；这一领域结构同时出现在信息消费和内容表达中。信息领域由此成为理解社交媒体性别差异的重要分析维度。</w:t>
      </w:r>
    </w:p>
    <w:p w14:paraId="7C290301" w14:textId="77777777" w:rsidR="004D6C43" w:rsidRDefault="00000000">
      <w:pPr>
        <w:pStyle w:val="21"/>
        <w:spacing w:before="120" w:after="240"/>
        <w:rPr>
          <w:lang w:eastAsia="zh-CN"/>
        </w:rPr>
      </w:pPr>
      <w:r>
        <w:rPr>
          <w:rFonts w:ascii="Times New Roman" w:eastAsia="Heiti SC" w:hAnsi="Times New Roman"/>
          <w:lang w:eastAsia="zh-CN"/>
        </w:rPr>
        <w:t>（三）信息消费与内容表达呈现不同结构</w:t>
      </w:r>
    </w:p>
    <w:p w14:paraId="4C654AE7" w14:textId="77777777" w:rsidR="004D6C43" w:rsidRDefault="00000000">
      <w:pPr>
        <w:spacing w:before="120" w:after="240"/>
        <w:jc w:val="both"/>
        <w:rPr>
          <w:lang w:eastAsia="zh-CN"/>
        </w:rPr>
      </w:pPr>
      <w:r>
        <w:rPr>
          <w:rFonts w:eastAsia="Songti SC"/>
          <w:color w:val="000000"/>
          <w:lang w:eastAsia="zh-CN"/>
        </w:rPr>
        <w:t>核心信息消费指标回答账号是否跨过某一领域的最低参与门槛，来源转发占比则回答该领域在全部转发中占多大位置。控制账号使用频率后，男性账号的公共事务来源转发占全部转发的比例高</w:t>
      </w:r>
      <w:r>
        <w:rPr>
          <w:rFonts w:eastAsia="Songti SC"/>
          <w:color w:val="000000"/>
          <w:lang w:eastAsia="zh-CN"/>
        </w:rPr>
        <w:t>0.27</w:t>
      </w:r>
      <w:r>
        <w:rPr>
          <w:rFonts w:eastAsia="Songti SC"/>
          <w:color w:val="000000"/>
          <w:lang w:eastAsia="zh-CN"/>
        </w:rPr>
        <w:t>个百分点，明星文化来源转发占比的性别差异为</w:t>
      </w:r>
      <w:r>
        <w:rPr>
          <w:rFonts w:eastAsia="Songti SC"/>
          <w:color w:val="000000"/>
          <w:lang w:eastAsia="zh-CN"/>
        </w:rPr>
        <w:t>0.002</w:t>
      </w:r>
      <w:r>
        <w:rPr>
          <w:rFonts w:eastAsia="Songti SC"/>
          <w:color w:val="000000"/>
          <w:lang w:eastAsia="zh-CN"/>
        </w:rPr>
        <w:t>个百分点，置信区间跨越零。与此同时，公共事务和明星文化的内容表达比例分别相差</w:t>
      </w:r>
      <w:r>
        <w:rPr>
          <w:rFonts w:eastAsia="Songti SC"/>
          <w:color w:val="000000"/>
          <w:lang w:eastAsia="zh-CN"/>
        </w:rPr>
        <w:t>9.75</w:t>
      </w:r>
      <w:r>
        <w:rPr>
          <w:rFonts w:eastAsia="Songti SC"/>
          <w:color w:val="000000"/>
          <w:lang w:eastAsia="zh-CN"/>
        </w:rPr>
        <w:t>和</w:t>
      </w:r>
      <w:r>
        <w:rPr>
          <w:rFonts w:eastAsia="Songti SC"/>
          <w:color w:val="000000"/>
          <w:lang w:eastAsia="zh-CN"/>
        </w:rPr>
        <w:t>-3.46</w:t>
      </w:r>
      <w:r>
        <w:rPr>
          <w:rFonts w:eastAsia="Songti SC"/>
          <w:color w:val="000000"/>
          <w:lang w:eastAsia="zh-CN"/>
        </w:rPr>
        <w:t>个百分点。最低参与门槛、持续传播和内容表达分别刻画平台参与的不同层面。</w:t>
      </w:r>
    </w:p>
    <w:p w14:paraId="64F75E67" w14:textId="77777777" w:rsidR="004D6C43" w:rsidRDefault="00000000">
      <w:pPr>
        <w:spacing w:before="120" w:after="240"/>
        <w:jc w:val="both"/>
        <w:rPr>
          <w:lang w:eastAsia="zh-CN"/>
        </w:rPr>
      </w:pPr>
      <w:r>
        <w:rPr>
          <w:rFonts w:eastAsia="Songti SC"/>
          <w:color w:val="000000"/>
          <w:lang w:eastAsia="zh-CN"/>
        </w:rPr>
        <w:t>图</w:t>
      </w:r>
      <w:r>
        <w:rPr>
          <w:rFonts w:eastAsia="Songti SC"/>
          <w:color w:val="000000"/>
          <w:lang w:eastAsia="zh-CN"/>
        </w:rPr>
        <w:t>4</w:t>
      </w:r>
      <w:r>
        <w:rPr>
          <w:rFonts w:eastAsia="Songti SC"/>
          <w:color w:val="000000"/>
          <w:lang w:eastAsia="zh-CN"/>
        </w:rPr>
        <w:t>把信息消费与内容表达交叉为四种参与类型。在公共事务领域，大多数账号只在内容中命中公共事务词条而没有转发名单内的官方媒体；在明星文化领域，女性账号的</w:t>
      </w:r>
      <w:r>
        <w:rPr>
          <w:rFonts w:eastAsia="Songti SC"/>
          <w:color w:val="000000"/>
          <w:lang w:eastAsia="zh-CN"/>
        </w:rPr>
        <w:t>“</w:t>
      </w:r>
      <w:r>
        <w:rPr>
          <w:rFonts w:eastAsia="Songti SC"/>
          <w:color w:val="000000"/>
          <w:lang w:eastAsia="zh-CN"/>
        </w:rPr>
        <w:t>仅内容表达</w:t>
      </w:r>
      <w:r>
        <w:rPr>
          <w:rFonts w:eastAsia="Songti SC"/>
          <w:color w:val="000000"/>
          <w:lang w:eastAsia="zh-CN"/>
        </w:rPr>
        <w:t>”</w:t>
      </w:r>
      <w:r>
        <w:rPr>
          <w:rFonts w:eastAsia="Songti SC"/>
          <w:color w:val="000000"/>
          <w:lang w:eastAsia="zh-CN"/>
        </w:rPr>
        <w:t>比例更高，男性账号更常在两种参与方式中都没有留下记录。信息消费与内容表达之间存在联系，但两者覆盖的行为范围明显不同。</w:t>
      </w:r>
    </w:p>
    <w:p w14:paraId="00ED7122" w14:textId="77777777" w:rsidR="004D6C43" w:rsidRDefault="00000000">
      <w:pPr>
        <w:keepNext/>
        <w:spacing w:before="120" w:after="240"/>
        <w:jc w:val="center"/>
      </w:pPr>
      <w:r>
        <w:rPr>
          <w:noProof/>
        </w:rPr>
        <w:lastRenderedPageBreak/>
        <w:drawing>
          <wp:inline distT="0" distB="0" distL="0" distR="0" wp14:anchorId="3B22150B" wp14:editId="258E2136">
            <wp:extent cx="5623560" cy="2914217"/>
            <wp:effectExtent l="0" t="0" r="0" b="0"/>
            <wp:docPr id="4" name="Picture 4" descr="图4 信息消费与内容表达的组合" title="图4 信息消费与内容表达的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819_fig4_source_content.png"/>
                    <pic:cNvPicPr/>
                  </pic:nvPicPr>
                  <pic:blipFill>
                    <a:blip r:embed="rId11"/>
                    <a:stretch>
                      <a:fillRect/>
                    </a:stretch>
                  </pic:blipFill>
                  <pic:spPr>
                    <a:xfrm>
                      <a:off x="0" y="0"/>
                      <a:ext cx="5623560" cy="2914217"/>
                    </a:xfrm>
                    <a:prstGeom prst="rect">
                      <a:avLst/>
                    </a:prstGeom>
                  </pic:spPr>
                </pic:pic>
              </a:graphicData>
            </a:graphic>
          </wp:inline>
        </w:drawing>
      </w:r>
    </w:p>
    <w:p w14:paraId="3019E56B" w14:textId="77777777" w:rsidR="004D6C43" w:rsidRDefault="00000000">
      <w:pPr>
        <w:pStyle w:val="af7"/>
        <w:keepLines/>
        <w:spacing w:before="120" w:after="240"/>
        <w:jc w:val="center"/>
        <w:rPr>
          <w:lang w:eastAsia="zh-CN"/>
        </w:rPr>
      </w:pPr>
      <w:r>
        <w:rPr>
          <w:lang w:eastAsia="zh-CN"/>
        </w:rPr>
        <w:t>图</w:t>
      </w:r>
      <w:r>
        <w:rPr>
          <w:lang w:eastAsia="zh-CN"/>
        </w:rPr>
        <w:t xml:space="preserve">4 </w:t>
      </w:r>
      <w:r>
        <w:rPr>
          <w:lang w:eastAsia="zh-CN"/>
        </w:rPr>
        <w:t>信息消费与内容表达的组合</w:t>
      </w:r>
    </w:p>
    <w:p w14:paraId="6C82F8F6" w14:textId="77777777" w:rsidR="004D6C43" w:rsidRDefault="00000000">
      <w:pPr>
        <w:spacing w:before="120" w:after="240"/>
        <w:jc w:val="both"/>
        <w:rPr>
          <w:lang w:eastAsia="zh-CN"/>
        </w:rPr>
      </w:pPr>
      <w:r>
        <w:rPr>
          <w:rFonts w:eastAsia="Songti SC"/>
          <w:color w:val="000000"/>
          <w:lang w:eastAsia="zh-CN"/>
        </w:rPr>
        <w:t>这一结果具有明确的方法含义。依据被转发账号识别信息消费，可以描绘账号与制度化来源之间的传播联系；依据文本识别内容表达，可以描绘账号公开谈论的议题。两类指标形成互补，共同区分信息来源与表达内容。</w:t>
      </w:r>
    </w:p>
    <w:p w14:paraId="7795D875" w14:textId="77777777" w:rsidR="004D6C43" w:rsidRDefault="00000000">
      <w:pPr>
        <w:pStyle w:val="21"/>
        <w:spacing w:before="120" w:after="240"/>
        <w:rPr>
          <w:lang w:eastAsia="zh-CN"/>
        </w:rPr>
      </w:pPr>
      <w:r>
        <w:rPr>
          <w:rFonts w:ascii="Times New Roman" w:eastAsia="Heiti SC" w:hAnsi="Times New Roman"/>
          <w:lang w:eastAsia="zh-CN"/>
        </w:rPr>
        <w:t>（四）跨领域组合体现不同的参与路径</w:t>
      </w:r>
    </w:p>
    <w:p w14:paraId="4A9DF5EB" w14:textId="77777777" w:rsidR="004D6C43" w:rsidRDefault="00000000">
      <w:pPr>
        <w:spacing w:before="120" w:after="240"/>
        <w:jc w:val="both"/>
        <w:rPr>
          <w:lang w:eastAsia="zh-CN"/>
        </w:rPr>
      </w:pPr>
      <w:r>
        <w:rPr>
          <w:rFonts w:eastAsia="Songti SC"/>
          <w:color w:val="000000"/>
          <w:lang w:eastAsia="zh-CN"/>
        </w:rPr>
        <w:t>跨领域组合模型根据信息消费把账号分为两个领域均未参与、仅参与公共事务、仅参与明星文化和两个领域都参与四类。控制账号使用频率后，男性账号</w:t>
      </w:r>
      <w:r>
        <w:rPr>
          <w:rFonts w:eastAsia="Songti SC"/>
          <w:color w:val="000000"/>
          <w:lang w:eastAsia="zh-CN"/>
        </w:rPr>
        <w:t>“</w:t>
      </w:r>
      <w:r>
        <w:rPr>
          <w:rFonts w:eastAsia="Songti SC"/>
          <w:color w:val="000000"/>
          <w:lang w:eastAsia="zh-CN"/>
        </w:rPr>
        <w:t>仅参与公共事务</w:t>
      </w:r>
      <w:r>
        <w:rPr>
          <w:rFonts w:eastAsia="Songti SC"/>
          <w:color w:val="000000"/>
          <w:lang w:eastAsia="zh-CN"/>
        </w:rPr>
        <w:t>”</w:t>
      </w:r>
      <w:r>
        <w:rPr>
          <w:rFonts w:eastAsia="Songti SC"/>
          <w:color w:val="000000"/>
          <w:lang w:eastAsia="zh-CN"/>
        </w:rPr>
        <w:t>的预测概率比女性账号高</w:t>
      </w:r>
      <w:r>
        <w:rPr>
          <w:rFonts w:eastAsia="Songti SC"/>
          <w:color w:val="000000"/>
          <w:lang w:eastAsia="zh-CN"/>
        </w:rPr>
        <w:t>3.81</w:t>
      </w:r>
      <w:r>
        <w:rPr>
          <w:rFonts w:eastAsia="Songti SC"/>
          <w:color w:val="000000"/>
          <w:lang w:eastAsia="zh-CN"/>
        </w:rPr>
        <w:t>个百分点，</w:t>
      </w:r>
      <w:r>
        <w:rPr>
          <w:rFonts w:eastAsia="Songti SC"/>
          <w:color w:val="000000"/>
          <w:lang w:eastAsia="zh-CN"/>
        </w:rPr>
        <w:t>“</w:t>
      </w:r>
      <w:r>
        <w:rPr>
          <w:rFonts w:eastAsia="Songti SC"/>
          <w:color w:val="000000"/>
          <w:lang w:eastAsia="zh-CN"/>
        </w:rPr>
        <w:t>仅参与明星文化</w:t>
      </w:r>
      <w:r>
        <w:rPr>
          <w:rFonts w:eastAsia="Songti SC"/>
          <w:color w:val="000000"/>
          <w:lang w:eastAsia="zh-CN"/>
        </w:rPr>
        <w:t>”</w:t>
      </w:r>
      <w:r>
        <w:rPr>
          <w:rFonts w:eastAsia="Songti SC"/>
          <w:color w:val="000000"/>
          <w:lang w:eastAsia="zh-CN"/>
        </w:rPr>
        <w:t>的概率低</w:t>
      </w:r>
      <w:r>
        <w:rPr>
          <w:rFonts w:eastAsia="Songti SC"/>
          <w:color w:val="000000"/>
          <w:lang w:eastAsia="zh-CN"/>
        </w:rPr>
        <w:t>1.28</w:t>
      </w:r>
      <w:r>
        <w:rPr>
          <w:rFonts w:eastAsia="Songti SC"/>
          <w:color w:val="000000"/>
          <w:lang w:eastAsia="zh-CN"/>
        </w:rPr>
        <w:t>个百分点；两个领域都参与的概率低</w:t>
      </w:r>
      <w:r>
        <w:rPr>
          <w:rFonts w:eastAsia="Songti SC"/>
          <w:color w:val="000000"/>
          <w:lang w:eastAsia="zh-CN"/>
        </w:rPr>
        <w:t>0.23</w:t>
      </w:r>
      <w:r>
        <w:rPr>
          <w:rFonts w:eastAsia="Songti SC"/>
          <w:color w:val="000000"/>
          <w:lang w:eastAsia="zh-CN"/>
        </w:rPr>
        <w:t>个百分点，两个领域均未参与的概率低</w:t>
      </w:r>
      <w:r>
        <w:rPr>
          <w:rFonts w:eastAsia="Songti SC"/>
          <w:color w:val="000000"/>
          <w:lang w:eastAsia="zh-CN"/>
        </w:rPr>
        <w:t>2.31</w:t>
      </w:r>
      <w:r>
        <w:rPr>
          <w:rFonts w:eastAsia="Songti SC"/>
          <w:color w:val="000000"/>
          <w:lang w:eastAsia="zh-CN"/>
        </w:rPr>
        <w:t>个百分点。</w:t>
      </w:r>
    </w:p>
    <w:p w14:paraId="28F00420" w14:textId="77777777" w:rsidR="004D6C43" w:rsidRDefault="00000000">
      <w:pPr>
        <w:keepNext/>
        <w:spacing w:before="120" w:after="240"/>
        <w:jc w:val="center"/>
      </w:pPr>
      <w:r>
        <w:rPr>
          <w:noProof/>
        </w:rPr>
        <w:drawing>
          <wp:inline distT="0" distB="0" distL="0" distR="0" wp14:anchorId="589CE2C4" wp14:editId="15B4645A">
            <wp:extent cx="5623560" cy="1758984"/>
            <wp:effectExtent l="0" t="0" r="0" b="0"/>
            <wp:docPr id="5" name="Picture 5" descr="图5 两个信息领域的信息消费组合" title="图5 两个信息领域的信息消费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819_fig5_combinations.png"/>
                    <pic:cNvPicPr/>
                  </pic:nvPicPr>
                  <pic:blipFill>
                    <a:blip r:embed="rId12"/>
                    <a:stretch>
                      <a:fillRect/>
                    </a:stretch>
                  </pic:blipFill>
                  <pic:spPr>
                    <a:xfrm>
                      <a:off x="0" y="0"/>
                      <a:ext cx="5623560" cy="1758984"/>
                    </a:xfrm>
                    <a:prstGeom prst="rect">
                      <a:avLst/>
                    </a:prstGeom>
                  </pic:spPr>
                </pic:pic>
              </a:graphicData>
            </a:graphic>
          </wp:inline>
        </w:drawing>
      </w:r>
    </w:p>
    <w:p w14:paraId="1ADB0B9B" w14:textId="77777777" w:rsidR="004D6C43" w:rsidRDefault="00000000">
      <w:pPr>
        <w:pStyle w:val="af7"/>
        <w:keepLines/>
        <w:spacing w:before="120" w:after="240"/>
        <w:jc w:val="center"/>
        <w:rPr>
          <w:lang w:eastAsia="zh-CN"/>
        </w:rPr>
      </w:pPr>
      <w:r>
        <w:rPr>
          <w:lang w:eastAsia="zh-CN"/>
        </w:rPr>
        <w:t>图</w:t>
      </w:r>
      <w:r>
        <w:rPr>
          <w:lang w:eastAsia="zh-CN"/>
        </w:rPr>
        <w:t xml:space="preserve">5 </w:t>
      </w:r>
      <w:r>
        <w:rPr>
          <w:lang w:eastAsia="zh-CN"/>
        </w:rPr>
        <w:t>两个信息领域的信息消费组合</w:t>
      </w:r>
    </w:p>
    <w:p w14:paraId="6058F3D3" w14:textId="77777777" w:rsidR="004D6C43" w:rsidRDefault="00000000">
      <w:pPr>
        <w:spacing w:before="120" w:after="240"/>
        <w:jc w:val="both"/>
        <w:rPr>
          <w:lang w:eastAsia="zh-CN"/>
        </w:rPr>
      </w:pPr>
      <w:r>
        <w:rPr>
          <w:rFonts w:eastAsia="Songti SC"/>
          <w:color w:val="000000"/>
          <w:lang w:eastAsia="zh-CN"/>
        </w:rPr>
        <w:t>图</w:t>
      </w:r>
      <w:r>
        <w:rPr>
          <w:rFonts w:eastAsia="Songti SC"/>
          <w:color w:val="000000"/>
          <w:lang w:eastAsia="zh-CN"/>
        </w:rPr>
        <w:t>5</w:t>
      </w:r>
      <w:r>
        <w:rPr>
          <w:rFonts w:eastAsia="Songti SC"/>
          <w:color w:val="000000"/>
          <w:lang w:eastAsia="zh-CN"/>
        </w:rPr>
        <w:t>说明，主要差异集中在账号通过信息消费参与哪一个领域。只参与公共事务的情况更偏向男性账号，只参与明星文化的情况更偏向女性账号，两类账号也都存在跨领域参与。内容表达比例</w:t>
      </w:r>
      <w:r>
        <w:rPr>
          <w:rFonts w:eastAsia="Songti SC"/>
          <w:color w:val="000000"/>
          <w:lang w:eastAsia="zh-CN"/>
        </w:rPr>
        <w:lastRenderedPageBreak/>
        <w:t>的相关分析显示，控制账号使用频率后，男性账号的两个领域呈弱负相关，女性账号呈弱正相关。性别化的信息领域结构由多种参与组合共同构成。</w:t>
      </w:r>
    </w:p>
    <w:p w14:paraId="4F8EE089" w14:textId="77777777" w:rsidR="004D6C43" w:rsidRDefault="00000000">
      <w:pPr>
        <w:pStyle w:val="21"/>
        <w:spacing w:before="120" w:after="240"/>
        <w:rPr>
          <w:lang w:eastAsia="zh-CN"/>
        </w:rPr>
      </w:pPr>
      <w:r>
        <w:rPr>
          <w:rFonts w:ascii="Times New Roman" w:eastAsia="Heiti SC" w:hAnsi="Times New Roman"/>
          <w:lang w:eastAsia="zh-CN"/>
        </w:rPr>
        <w:t>（五）时间结构与转发延迟</w:t>
      </w:r>
    </w:p>
    <w:p w14:paraId="3748BD6A" w14:textId="77777777" w:rsidR="004D6C43" w:rsidRDefault="00000000">
      <w:pPr>
        <w:spacing w:before="120" w:after="240"/>
        <w:jc w:val="both"/>
        <w:rPr>
          <w:lang w:eastAsia="zh-CN"/>
        </w:rPr>
      </w:pPr>
      <w:r>
        <w:rPr>
          <w:rFonts w:eastAsia="Songti SC"/>
          <w:color w:val="000000"/>
          <w:lang w:eastAsia="zh-CN"/>
        </w:rPr>
        <w:t>参与月份比例衡量一个账号在其活跃月份中有多少月份通过来源转发参与某一领域。控制账号使用频率后，男性账号的公共事务参与月份比例高</w:t>
      </w:r>
      <w:r>
        <w:rPr>
          <w:rFonts w:eastAsia="Songti SC"/>
          <w:color w:val="000000"/>
          <w:lang w:eastAsia="zh-CN"/>
        </w:rPr>
        <w:t>1.36</w:t>
      </w:r>
      <w:r>
        <w:rPr>
          <w:rFonts w:eastAsia="Songti SC"/>
          <w:color w:val="000000"/>
          <w:lang w:eastAsia="zh-CN"/>
        </w:rPr>
        <w:t>个百分点，明星文化参与月份比例低</w:t>
      </w:r>
      <w:r>
        <w:rPr>
          <w:rFonts w:eastAsia="Songti SC"/>
          <w:color w:val="000000"/>
          <w:lang w:eastAsia="zh-CN"/>
        </w:rPr>
        <w:t>0.24</w:t>
      </w:r>
      <w:r>
        <w:rPr>
          <w:rFonts w:eastAsia="Songti SC"/>
          <w:color w:val="000000"/>
          <w:lang w:eastAsia="zh-CN"/>
        </w:rPr>
        <w:t>个百分点。逐月排除任何一个有数据的月份，公共事务中的差异始终为正，明星文化中的差异始终为负。图</w:t>
      </w:r>
      <w:r>
        <w:rPr>
          <w:rFonts w:eastAsia="Songti SC"/>
          <w:color w:val="000000"/>
          <w:lang w:eastAsia="zh-CN"/>
        </w:rPr>
        <w:t>6</w:t>
      </w:r>
      <w:r>
        <w:rPr>
          <w:rFonts w:eastAsia="Songti SC"/>
          <w:color w:val="000000"/>
          <w:lang w:eastAsia="zh-CN"/>
        </w:rPr>
        <w:t>所示的月度曲线也表明，两个领域的总体方向贯穿观察期，并非由单个月份完全驱动。</w:t>
      </w:r>
    </w:p>
    <w:p w14:paraId="7C975695" w14:textId="77777777" w:rsidR="004D6C43" w:rsidRDefault="00000000">
      <w:pPr>
        <w:keepNext/>
        <w:spacing w:before="120" w:after="240"/>
        <w:jc w:val="center"/>
      </w:pPr>
      <w:r>
        <w:rPr>
          <w:noProof/>
        </w:rPr>
        <w:drawing>
          <wp:inline distT="0" distB="0" distL="0" distR="0" wp14:anchorId="447AA0CB" wp14:editId="2F776C41">
            <wp:extent cx="5623560" cy="3570719"/>
            <wp:effectExtent l="0" t="0" r="0" b="0"/>
            <wp:docPr id="6" name="Picture 6" descr="图6 两个信息领域参与的月度变化" title="图6 两个信息领域参与的月度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819_fig6_monthly.png"/>
                    <pic:cNvPicPr/>
                  </pic:nvPicPr>
                  <pic:blipFill>
                    <a:blip r:embed="rId13"/>
                    <a:stretch>
                      <a:fillRect/>
                    </a:stretch>
                  </pic:blipFill>
                  <pic:spPr>
                    <a:xfrm>
                      <a:off x="0" y="0"/>
                      <a:ext cx="5623560" cy="3570719"/>
                    </a:xfrm>
                    <a:prstGeom prst="rect">
                      <a:avLst/>
                    </a:prstGeom>
                  </pic:spPr>
                </pic:pic>
              </a:graphicData>
            </a:graphic>
          </wp:inline>
        </w:drawing>
      </w:r>
    </w:p>
    <w:p w14:paraId="54E1927B" w14:textId="77777777" w:rsidR="004D6C43" w:rsidRDefault="00000000">
      <w:pPr>
        <w:pStyle w:val="af7"/>
        <w:keepLines/>
        <w:spacing w:before="120" w:after="240"/>
        <w:jc w:val="center"/>
        <w:rPr>
          <w:lang w:eastAsia="zh-CN"/>
        </w:rPr>
      </w:pPr>
      <w:r>
        <w:rPr>
          <w:lang w:eastAsia="zh-CN"/>
        </w:rPr>
        <w:t>图</w:t>
      </w:r>
      <w:r>
        <w:rPr>
          <w:lang w:eastAsia="zh-CN"/>
        </w:rPr>
        <w:t xml:space="preserve">6 </w:t>
      </w:r>
      <w:r>
        <w:rPr>
          <w:lang w:eastAsia="zh-CN"/>
        </w:rPr>
        <w:t>两个信息领域参与的月度变化</w:t>
      </w:r>
    </w:p>
    <w:p w14:paraId="6CBD585D" w14:textId="77777777" w:rsidR="004D6C43" w:rsidRDefault="00000000">
      <w:pPr>
        <w:spacing w:before="120" w:after="240"/>
        <w:jc w:val="both"/>
        <w:rPr>
          <w:lang w:eastAsia="zh-CN"/>
        </w:rPr>
      </w:pPr>
      <w:r>
        <w:rPr>
          <w:rFonts w:eastAsia="Songti SC"/>
          <w:color w:val="000000"/>
          <w:lang w:eastAsia="zh-CN"/>
        </w:rPr>
        <w:t>转发延迟采用用户级中位数，以平衡高频账号和长尾记录的影响。在</w:t>
      </w:r>
      <w:r>
        <w:rPr>
          <w:rFonts w:eastAsia="Songti SC"/>
          <w:color w:val="000000"/>
          <w:lang w:eastAsia="zh-CN"/>
        </w:rPr>
        <w:t>720</w:t>
      </w:r>
      <w:r>
        <w:rPr>
          <w:rFonts w:eastAsia="Songti SC"/>
          <w:color w:val="000000"/>
          <w:lang w:eastAsia="zh-CN"/>
        </w:rPr>
        <w:t>小时截断范围内，公共事务来源中男性账号和女性账号的用户级中位延迟分别为</w:t>
      </w:r>
      <w:r>
        <w:rPr>
          <w:rFonts w:eastAsia="Songti SC"/>
          <w:color w:val="000000"/>
          <w:lang w:eastAsia="zh-CN"/>
        </w:rPr>
        <w:t>5.72</w:t>
      </w:r>
      <w:r>
        <w:rPr>
          <w:rFonts w:eastAsia="Songti SC"/>
          <w:color w:val="000000"/>
          <w:lang w:eastAsia="zh-CN"/>
        </w:rPr>
        <w:t>和</w:t>
      </w:r>
      <w:r>
        <w:rPr>
          <w:rFonts w:eastAsia="Songti SC"/>
          <w:color w:val="000000"/>
          <w:lang w:eastAsia="zh-CN"/>
        </w:rPr>
        <w:t>5.60</w:t>
      </w:r>
      <w:r>
        <w:rPr>
          <w:rFonts w:eastAsia="Songti SC"/>
          <w:color w:val="000000"/>
          <w:lang w:eastAsia="zh-CN"/>
        </w:rPr>
        <w:t>小时，差异</w:t>
      </w:r>
      <w:r>
        <w:rPr>
          <w:rFonts w:eastAsia="Songti SC"/>
          <w:color w:val="000000"/>
          <w:lang w:eastAsia="zh-CN"/>
        </w:rPr>
        <w:t>0.12</w:t>
      </w:r>
      <w:r>
        <w:rPr>
          <w:rFonts w:eastAsia="Songti SC"/>
          <w:color w:val="000000"/>
          <w:lang w:eastAsia="zh-CN"/>
        </w:rPr>
        <w:t>小时，</w:t>
      </w:r>
      <w:r>
        <w:rPr>
          <w:rFonts w:eastAsia="Songti SC"/>
          <w:color w:val="000000"/>
          <w:lang w:eastAsia="zh-CN"/>
        </w:rPr>
        <w:t>95%</w:t>
      </w:r>
      <w:r>
        <w:rPr>
          <w:rFonts w:eastAsia="Songti SC"/>
          <w:color w:val="000000"/>
          <w:lang w:eastAsia="zh-CN"/>
        </w:rPr>
        <w:t>置信区间为</w:t>
      </w:r>
      <w:r>
        <w:rPr>
          <w:rFonts w:eastAsia="Songti SC"/>
          <w:color w:val="000000"/>
          <w:lang w:eastAsia="zh-CN"/>
        </w:rPr>
        <w:t>[-0.20, 0.46]</w:t>
      </w:r>
      <w:r>
        <w:rPr>
          <w:rFonts w:eastAsia="Songti SC"/>
          <w:color w:val="000000"/>
          <w:lang w:eastAsia="zh-CN"/>
        </w:rPr>
        <w:t>；明星文化来源中分别为</w:t>
      </w:r>
      <w:r>
        <w:rPr>
          <w:rFonts w:eastAsia="Songti SC"/>
          <w:color w:val="000000"/>
          <w:lang w:eastAsia="zh-CN"/>
        </w:rPr>
        <w:t>5.10</w:t>
      </w:r>
      <w:r>
        <w:rPr>
          <w:rFonts w:eastAsia="Songti SC"/>
          <w:color w:val="000000"/>
          <w:lang w:eastAsia="zh-CN"/>
        </w:rPr>
        <w:t>和</w:t>
      </w:r>
      <w:r>
        <w:rPr>
          <w:rFonts w:eastAsia="Songti SC"/>
          <w:color w:val="000000"/>
          <w:lang w:eastAsia="zh-CN"/>
        </w:rPr>
        <w:t>3.80</w:t>
      </w:r>
      <w:r>
        <w:rPr>
          <w:rFonts w:eastAsia="Songti SC"/>
          <w:color w:val="000000"/>
          <w:lang w:eastAsia="zh-CN"/>
        </w:rPr>
        <w:t>小时，男性账号慢</w:t>
      </w:r>
      <w:r>
        <w:rPr>
          <w:rFonts w:eastAsia="Songti SC"/>
          <w:color w:val="000000"/>
          <w:lang w:eastAsia="zh-CN"/>
        </w:rPr>
        <w:t>1.31</w:t>
      </w:r>
      <w:r>
        <w:rPr>
          <w:rFonts w:eastAsia="Songti SC"/>
          <w:color w:val="000000"/>
          <w:lang w:eastAsia="zh-CN"/>
        </w:rPr>
        <w:t>小时，</w:t>
      </w:r>
      <w:r>
        <w:rPr>
          <w:rFonts w:eastAsia="Songti SC"/>
          <w:color w:val="000000"/>
          <w:lang w:eastAsia="zh-CN"/>
        </w:rPr>
        <w:t>95%</w:t>
      </w:r>
      <w:r>
        <w:rPr>
          <w:rFonts w:eastAsia="Songti SC"/>
          <w:color w:val="000000"/>
          <w:lang w:eastAsia="zh-CN"/>
        </w:rPr>
        <w:t>置信区间为</w:t>
      </w:r>
      <w:r>
        <w:rPr>
          <w:rFonts w:eastAsia="Songti SC"/>
          <w:color w:val="000000"/>
          <w:lang w:eastAsia="zh-CN"/>
        </w:rPr>
        <w:t>[0.90, 1.82]</w:t>
      </w:r>
      <w:r>
        <w:rPr>
          <w:rFonts w:eastAsia="Songti SC"/>
          <w:color w:val="000000"/>
          <w:lang w:eastAsia="zh-CN"/>
        </w:rPr>
        <w:t>。转发延迟呈现已发生转发事件的时间结构。</w:t>
      </w:r>
    </w:p>
    <w:p w14:paraId="36F3E644" w14:textId="77777777" w:rsidR="004D6C43" w:rsidRDefault="00000000">
      <w:pPr>
        <w:pStyle w:val="1"/>
        <w:spacing w:before="120" w:after="240"/>
        <w:rPr>
          <w:lang w:eastAsia="zh-CN"/>
        </w:rPr>
      </w:pPr>
      <w:r>
        <w:rPr>
          <w:rFonts w:ascii="Times New Roman" w:eastAsia="Heiti SC" w:hAnsi="Times New Roman"/>
          <w:lang w:eastAsia="zh-CN"/>
        </w:rPr>
        <w:t>五、稳健性检验</w:t>
      </w:r>
    </w:p>
    <w:p w14:paraId="45D5898E" w14:textId="77777777" w:rsidR="004D6C43" w:rsidRDefault="00000000">
      <w:pPr>
        <w:pStyle w:val="21"/>
        <w:spacing w:before="120" w:after="240"/>
        <w:rPr>
          <w:lang w:eastAsia="zh-CN"/>
        </w:rPr>
      </w:pPr>
      <w:r>
        <w:rPr>
          <w:rFonts w:ascii="Times New Roman" w:eastAsia="Heiti SC" w:hAnsi="Times New Roman"/>
          <w:lang w:eastAsia="zh-CN"/>
        </w:rPr>
        <w:t>（一）样本构成检验</w:t>
      </w:r>
    </w:p>
    <w:p w14:paraId="2C0AF809" w14:textId="77777777" w:rsidR="004D6C43" w:rsidRDefault="00000000">
      <w:pPr>
        <w:spacing w:before="120" w:after="240"/>
        <w:jc w:val="both"/>
        <w:rPr>
          <w:lang w:eastAsia="zh-CN"/>
        </w:rPr>
      </w:pPr>
      <w:r>
        <w:rPr>
          <w:rFonts w:eastAsia="Songti SC"/>
          <w:color w:val="000000"/>
          <w:lang w:eastAsia="zh-CN"/>
        </w:rPr>
        <w:t>个人账号在本文中作为关键稳健性检验。按认证类型排除</w:t>
      </w:r>
      <w:r>
        <w:rPr>
          <w:rFonts w:eastAsia="Songti SC"/>
          <w:color w:val="000000"/>
          <w:lang w:eastAsia="zh-CN"/>
        </w:rPr>
        <w:t>15,468</w:t>
      </w:r>
      <w:r>
        <w:rPr>
          <w:rFonts w:eastAsia="Songti SC"/>
          <w:color w:val="000000"/>
          <w:lang w:eastAsia="zh-CN"/>
        </w:rPr>
        <w:t>个机构账号后，保留</w:t>
      </w:r>
      <w:r>
        <w:rPr>
          <w:rFonts w:eastAsia="Songti SC"/>
          <w:color w:val="000000"/>
          <w:lang w:eastAsia="zh-CN"/>
        </w:rPr>
        <w:t>209,871</w:t>
      </w:r>
      <w:r>
        <w:rPr>
          <w:rFonts w:eastAsia="Songti SC"/>
          <w:color w:val="000000"/>
          <w:lang w:eastAsia="zh-CN"/>
        </w:rPr>
        <w:t>个个人账号。控制账号使用频率后，个人账号中男性账号参与公共事务信息消费的概率高</w:t>
      </w:r>
      <w:r>
        <w:rPr>
          <w:rFonts w:eastAsia="Songti SC"/>
          <w:color w:val="000000"/>
          <w:lang w:eastAsia="zh-CN"/>
        </w:rPr>
        <w:t>2.28</w:t>
      </w:r>
      <w:r>
        <w:rPr>
          <w:rFonts w:eastAsia="Songti SC"/>
          <w:color w:val="000000"/>
          <w:lang w:eastAsia="zh-CN"/>
        </w:rPr>
        <w:t>个百分点，参与明星文化信息消费的概率低</w:t>
      </w:r>
      <w:r>
        <w:rPr>
          <w:rFonts w:eastAsia="Songti SC"/>
          <w:color w:val="000000"/>
          <w:lang w:eastAsia="zh-CN"/>
        </w:rPr>
        <w:t>0.80</w:t>
      </w:r>
      <w:r>
        <w:rPr>
          <w:rFonts w:eastAsia="Songti SC"/>
          <w:color w:val="000000"/>
          <w:lang w:eastAsia="zh-CN"/>
        </w:rPr>
        <w:t>个百分点；公共事务内容表达比例高</w:t>
      </w:r>
      <w:r>
        <w:rPr>
          <w:rFonts w:eastAsia="Songti SC"/>
          <w:color w:val="000000"/>
          <w:lang w:eastAsia="zh-CN"/>
        </w:rPr>
        <w:t>3.93</w:t>
      </w:r>
      <w:r>
        <w:rPr>
          <w:rFonts w:eastAsia="Songti SC"/>
          <w:color w:val="000000"/>
          <w:lang w:eastAsia="zh-CN"/>
        </w:rPr>
        <w:t>个百分点，明</w:t>
      </w:r>
      <w:r>
        <w:rPr>
          <w:rFonts w:eastAsia="Songti SC"/>
          <w:color w:val="000000"/>
          <w:lang w:eastAsia="zh-CN"/>
        </w:rPr>
        <w:lastRenderedPageBreak/>
        <w:t>星文化内容表达比例低</w:t>
      </w:r>
      <w:r>
        <w:rPr>
          <w:rFonts w:eastAsia="Songti SC"/>
          <w:color w:val="000000"/>
          <w:lang w:eastAsia="zh-CN"/>
        </w:rPr>
        <w:t>3.06</w:t>
      </w:r>
      <w:r>
        <w:rPr>
          <w:rFonts w:eastAsia="Songti SC"/>
          <w:color w:val="000000"/>
          <w:lang w:eastAsia="zh-CN"/>
        </w:rPr>
        <w:t>个百分点。两种参与方式的领域距离分别为</w:t>
      </w:r>
      <w:r>
        <w:rPr>
          <w:rFonts w:eastAsia="Songti SC"/>
          <w:color w:val="000000"/>
          <w:lang w:eastAsia="zh-CN"/>
        </w:rPr>
        <w:t>3.16</w:t>
      </w:r>
      <w:r>
        <w:rPr>
          <w:rFonts w:eastAsia="Songti SC"/>
          <w:color w:val="000000"/>
          <w:lang w:eastAsia="zh-CN"/>
        </w:rPr>
        <w:t>和</w:t>
      </w:r>
      <w:r>
        <w:rPr>
          <w:rFonts w:eastAsia="Songti SC"/>
          <w:color w:val="000000"/>
          <w:lang w:eastAsia="zh-CN"/>
        </w:rPr>
        <w:t>8.34</w:t>
      </w:r>
      <w:r>
        <w:rPr>
          <w:rFonts w:eastAsia="Songti SC"/>
          <w:color w:val="000000"/>
          <w:lang w:eastAsia="zh-CN"/>
        </w:rPr>
        <w:t>个百分点。与全账号相比，个人账号中的公共事务差异明显缩小，显示机构账号强化了平台层面的公共事务分化；四项结果继续保持相同方向。</w:t>
      </w:r>
    </w:p>
    <w:p w14:paraId="3BDA36E1" w14:textId="77777777" w:rsidR="004D6C43" w:rsidRDefault="00000000">
      <w:pPr>
        <w:keepNext/>
        <w:spacing w:before="120" w:after="240"/>
        <w:jc w:val="center"/>
      </w:pPr>
      <w:r>
        <w:rPr>
          <w:rFonts w:eastAsia="Songti SC"/>
          <w:b/>
          <w:color w:val="000000"/>
        </w:rPr>
        <w:t>表</w:t>
      </w:r>
      <w:r>
        <w:rPr>
          <w:rFonts w:eastAsia="Songti SC"/>
          <w:b/>
          <w:color w:val="000000"/>
        </w:rPr>
        <w:t xml:space="preserve">4 </w:t>
      </w:r>
      <w:r>
        <w:rPr>
          <w:rFonts w:eastAsia="Songti SC"/>
          <w:b/>
          <w:color w:val="000000"/>
        </w:rPr>
        <w:t>关键样本稳健性结果</w:t>
      </w:r>
    </w:p>
    <w:tbl>
      <w:tblPr>
        <w:tblW w:w="9028" w:type="dxa"/>
        <w:jc w:val="center"/>
        <w:tblLayout w:type="fixed"/>
        <w:tblLook w:val="04A0" w:firstRow="1" w:lastRow="0" w:firstColumn="1" w:lastColumn="0" w:noHBand="0" w:noVBand="1"/>
      </w:tblPr>
      <w:tblGrid>
        <w:gridCol w:w="2059"/>
        <w:gridCol w:w="1152"/>
        <w:gridCol w:w="1152"/>
        <w:gridCol w:w="1152"/>
        <w:gridCol w:w="1152"/>
        <w:gridCol w:w="1152"/>
        <w:gridCol w:w="1209"/>
      </w:tblGrid>
      <w:tr w:rsidR="004D6C43" w14:paraId="107543A0" w14:textId="77777777">
        <w:trPr>
          <w:cantSplit/>
          <w:tblHeader/>
          <w:jc w:val="center"/>
        </w:trPr>
        <w:tc>
          <w:tcPr>
            <w:tcW w:w="2059" w:type="dxa"/>
            <w:tcBorders>
              <w:top w:val="single" w:sz="12" w:space="0" w:color="000000"/>
              <w:left w:val="nil"/>
              <w:bottom w:val="single" w:sz="6" w:space="0" w:color="000000"/>
              <w:right w:val="nil"/>
            </w:tcBorders>
            <w:tcMar>
              <w:top w:w="80" w:type="dxa"/>
              <w:left w:w="90" w:type="dxa"/>
              <w:bottom w:w="80" w:type="dxa"/>
              <w:right w:w="90" w:type="dxa"/>
            </w:tcMar>
            <w:vAlign w:val="center"/>
          </w:tcPr>
          <w:p w14:paraId="3D7825C3" w14:textId="77777777" w:rsidR="004D6C43" w:rsidRDefault="00000000">
            <w:pPr>
              <w:keepNext/>
              <w:keepLines/>
              <w:spacing w:before="120" w:after="240" w:line="252" w:lineRule="auto"/>
              <w:ind w:firstLine="0"/>
            </w:pPr>
            <w:r>
              <w:rPr>
                <w:rFonts w:eastAsia="Songti SC"/>
                <w:b/>
                <w:color w:val="000000"/>
              </w:rPr>
              <w:t>样本设定</w:t>
            </w:r>
          </w:p>
        </w:tc>
        <w:tc>
          <w:tcPr>
            <w:tcW w:w="1152" w:type="dxa"/>
            <w:tcBorders>
              <w:top w:val="single" w:sz="12" w:space="0" w:color="000000"/>
              <w:left w:val="nil"/>
              <w:bottom w:val="single" w:sz="6" w:space="0" w:color="000000"/>
              <w:right w:val="nil"/>
            </w:tcBorders>
            <w:tcMar>
              <w:top w:w="80" w:type="dxa"/>
              <w:left w:w="90" w:type="dxa"/>
              <w:bottom w:w="80" w:type="dxa"/>
              <w:right w:w="90" w:type="dxa"/>
            </w:tcMar>
            <w:vAlign w:val="center"/>
          </w:tcPr>
          <w:p w14:paraId="454D8361" w14:textId="77777777" w:rsidR="004D6C43" w:rsidRDefault="00000000">
            <w:pPr>
              <w:keepNext/>
              <w:keepLines/>
              <w:spacing w:before="120" w:after="240" w:line="252" w:lineRule="auto"/>
              <w:ind w:firstLine="0"/>
              <w:jc w:val="center"/>
            </w:pPr>
            <w:r>
              <w:rPr>
                <w:rFonts w:eastAsia="Songti SC"/>
                <w:b/>
                <w:color w:val="000000"/>
              </w:rPr>
              <w:t>公共事务信息消费</w:t>
            </w:r>
          </w:p>
        </w:tc>
        <w:tc>
          <w:tcPr>
            <w:tcW w:w="1152" w:type="dxa"/>
            <w:tcBorders>
              <w:top w:val="single" w:sz="12" w:space="0" w:color="000000"/>
              <w:left w:val="nil"/>
              <w:bottom w:val="single" w:sz="6" w:space="0" w:color="000000"/>
              <w:right w:val="nil"/>
            </w:tcBorders>
            <w:tcMar>
              <w:top w:w="80" w:type="dxa"/>
              <w:left w:w="90" w:type="dxa"/>
              <w:bottom w:w="80" w:type="dxa"/>
              <w:right w:w="90" w:type="dxa"/>
            </w:tcMar>
            <w:vAlign w:val="center"/>
          </w:tcPr>
          <w:p w14:paraId="49B5FC66" w14:textId="77777777" w:rsidR="004D6C43" w:rsidRDefault="00000000">
            <w:pPr>
              <w:keepNext/>
              <w:keepLines/>
              <w:spacing w:before="120" w:after="240" w:line="252" w:lineRule="auto"/>
              <w:ind w:firstLine="0"/>
              <w:jc w:val="center"/>
            </w:pPr>
            <w:r>
              <w:rPr>
                <w:rFonts w:eastAsia="Songti SC"/>
                <w:b/>
                <w:color w:val="000000"/>
              </w:rPr>
              <w:t>明星文化信息消费</w:t>
            </w:r>
          </w:p>
        </w:tc>
        <w:tc>
          <w:tcPr>
            <w:tcW w:w="1152" w:type="dxa"/>
            <w:tcBorders>
              <w:top w:val="single" w:sz="12" w:space="0" w:color="000000"/>
              <w:left w:val="nil"/>
              <w:bottom w:val="single" w:sz="6" w:space="0" w:color="000000"/>
              <w:right w:val="nil"/>
            </w:tcBorders>
            <w:tcMar>
              <w:top w:w="80" w:type="dxa"/>
              <w:left w:w="90" w:type="dxa"/>
              <w:bottom w:w="80" w:type="dxa"/>
              <w:right w:w="90" w:type="dxa"/>
            </w:tcMar>
            <w:vAlign w:val="center"/>
          </w:tcPr>
          <w:p w14:paraId="65A0BEED" w14:textId="77777777" w:rsidR="004D6C43" w:rsidRDefault="00000000">
            <w:pPr>
              <w:keepNext/>
              <w:keepLines/>
              <w:spacing w:before="120" w:after="240" w:line="252" w:lineRule="auto"/>
              <w:ind w:firstLine="0"/>
              <w:jc w:val="center"/>
            </w:pPr>
            <w:r>
              <w:rPr>
                <w:rFonts w:eastAsia="Songti SC"/>
                <w:b/>
                <w:color w:val="000000"/>
              </w:rPr>
              <w:t>公共事务内容表达</w:t>
            </w:r>
          </w:p>
        </w:tc>
        <w:tc>
          <w:tcPr>
            <w:tcW w:w="1152" w:type="dxa"/>
            <w:tcBorders>
              <w:top w:val="single" w:sz="12" w:space="0" w:color="000000"/>
              <w:left w:val="nil"/>
              <w:bottom w:val="single" w:sz="6" w:space="0" w:color="000000"/>
              <w:right w:val="nil"/>
            </w:tcBorders>
            <w:tcMar>
              <w:top w:w="80" w:type="dxa"/>
              <w:left w:w="90" w:type="dxa"/>
              <w:bottom w:w="80" w:type="dxa"/>
              <w:right w:w="90" w:type="dxa"/>
            </w:tcMar>
            <w:vAlign w:val="center"/>
          </w:tcPr>
          <w:p w14:paraId="62C97D30" w14:textId="77777777" w:rsidR="004D6C43" w:rsidRDefault="00000000">
            <w:pPr>
              <w:keepNext/>
              <w:keepLines/>
              <w:spacing w:before="120" w:after="240" w:line="252" w:lineRule="auto"/>
              <w:ind w:firstLine="0"/>
              <w:jc w:val="center"/>
            </w:pPr>
            <w:r>
              <w:rPr>
                <w:rFonts w:eastAsia="Songti SC"/>
                <w:b/>
                <w:color w:val="000000"/>
              </w:rPr>
              <w:t>明星文化内容表达</w:t>
            </w:r>
          </w:p>
        </w:tc>
        <w:tc>
          <w:tcPr>
            <w:tcW w:w="1152" w:type="dxa"/>
            <w:tcBorders>
              <w:top w:val="single" w:sz="12" w:space="0" w:color="000000"/>
              <w:left w:val="nil"/>
              <w:bottom w:val="single" w:sz="6" w:space="0" w:color="000000"/>
              <w:right w:val="nil"/>
            </w:tcBorders>
            <w:tcMar>
              <w:top w:w="80" w:type="dxa"/>
              <w:left w:w="90" w:type="dxa"/>
              <w:bottom w:w="80" w:type="dxa"/>
              <w:right w:w="90" w:type="dxa"/>
            </w:tcMar>
            <w:vAlign w:val="center"/>
          </w:tcPr>
          <w:p w14:paraId="66D47446" w14:textId="77777777" w:rsidR="004D6C43" w:rsidRDefault="00000000">
            <w:pPr>
              <w:keepNext/>
              <w:keepLines/>
              <w:spacing w:before="120" w:after="240" w:line="252" w:lineRule="auto"/>
              <w:ind w:firstLine="0"/>
              <w:jc w:val="center"/>
            </w:pPr>
            <w:r>
              <w:rPr>
                <w:rFonts w:eastAsia="Songti SC"/>
                <w:b/>
                <w:color w:val="000000"/>
              </w:rPr>
              <w:t>消费领域距离</w:t>
            </w:r>
          </w:p>
        </w:tc>
        <w:tc>
          <w:tcPr>
            <w:tcW w:w="1209" w:type="dxa"/>
            <w:tcBorders>
              <w:top w:val="single" w:sz="12" w:space="0" w:color="000000"/>
              <w:left w:val="nil"/>
              <w:bottom w:val="single" w:sz="6" w:space="0" w:color="000000"/>
              <w:right w:val="nil"/>
            </w:tcBorders>
            <w:tcMar>
              <w:top w:w="80" w:type="dxa"/>
              <w:left w:w="90" w:type="dxa"/>
              <w:bottom w:w="80" w:type="dxa"/>
              <w:right w:w="90" w:type="dxa"/>
            </w:tcMar>
            <w:vAlign w:val="center"/>
          </w:tcPr>
          <w:p w14:paraId="7F7D9976" w14:textId="77777777" w:rsidR="004D6C43" w:rsidRDefault="00000000">
            <w:pPr>
              <w:keepNext/>
              <w:keepLines/>
              <w:spacing w:before="120" w:after="240" w:line="252" w:lineRule="auto"/>
              <w:ind w:firstLine="0"/>
              <w:jc w:val="center"/>
            </w:pPr>
            <w:r>
              <w:rPr>
                <w:rFonts w:eastAsia="Songti SC"/>
                <w:b/>
                <w:color w:val="000000"/>
              </w:rPr>
              <w:t>表达领域距离</w:t>
            </w:r>
          </w:p>
        </w:tc>
      </w:tr>
      <w:tr w:rsidR="004D6C43" w14:paraId="4A5E0DE1" w14:textId="77777777">
        <w:trPr>
          <w:cantSplit/>
          <w:jc w:val="center"/>
        </w:trPr>
        <w:tc>
          <w:tcPr>
            <w:tcW w:w="2059" w:type="dxa"/>
            <w:tcBorders>
              <w:top w:val="nil"/>
              <w:left w:val="nil"/>
              <w:bottom w:val="nil"/>
              <w:right w:val="nil"/>
            </w:tcBorders>
            <w:tcMar>
              <w:top w:w="80" w:type="dxa"/>
              <w:left w:w="90" w:type="dxa"/>
              <w:bottom w:w="80" w:type="dxa"/>
              <w:right w:w="90" w:type="dxa"/>
            </w:tcMar>
            <w:vAlign w:val="center"/>
          </w:tcPr>
          <w:p w14:paraId="7DAFF90F" w14:textId="77777777" w:rsidR="004D6C43" w:rsidRDefault="00000000">
            <w:pPr>
              <w:keepNext/>
              <w:keepLines/>
              <w:spacing w:before="120" w:after="240" w:line="252" w:lineRule="auto"/>
              <w:ind w:firstLine="0"/>
            </w:pPr>
            <w:r>
              <w:rPr>
                <w:rFonts w:eastAsia="Songti SC"/>
                <w:color w:val="000000"/>
              </w:rPr>
              <w:t>全账号主要模型</w:t>
            </w:r>
          </w:p>
        </w:tc>
        <w:tc>
          <w:tcPr>
            <w:tcW w:w="1152" w:type="dxa"/>
            <w:tcBorders>
              <w:top w:val="nil"/>
              <w:left w:val="nil"/>
              <w:bottom w:val="nil"/>
              <w:right w:val="nil"/>
            </w:tcBorders>
            <w:tcMar>
              <w:top w:w="80" w:type="dxa"/>
              <w:left w:w="90" w:type="dxa"/>
              <w:bottom w:w="80" w:type="dxa"/>
              <w:right w:w="90" w:type="dxa"/>
            </w:tcMar>
            <w:vAlign w:val="center"/>
          </w:tcPr>
          <w:p w14:paraId="62F2AD88" w14:textId="77777777" w:rsidR="004D6C43" w:rsidRDefault="00000000">
            <w:pPr>
              <w:keepNext/>
              <w:keepLines/>
              <w:spacing w:before="120" w:after="240" w:line="252" w:lineRule="auto"/>
              <w:ind w:firstLine="0"/>
              <w:jc w:val="center"/>
            </w:pPr>
            <w:r>
              <w:rPr>
                <w:rFonts w:eastAsia="Songti SC"/>
                <w:color w:val="000000"/>
              </w:rPr>
              <w:t>3.59</w:t>
            </w:r>
          </w:p>
        </w:tc>
        <w:tc>
          <w:tcPr>
            <w:tcW w:w="1152" w:type="dxa"/>
            <w:tcBorders>
              <w:top w:val="nil"/>
              <w:left w:val="nil"/>
              <w:bottom w:val="nil"/>
              <w:right w:val="nil"/>
            </w:tcBorders>
            <w:tcMar>
              <w:top w:w="80" w:type="dxa"/>
              <w:left w:w="90" w:type="dxa"/>
              <w:bottom w:w="80" w:type="dxa"/>
              <w:right w:w="90" w:type="dxa"/>
            </w:tcMar>
            <w:vAlign w:val="center"/>
          </w:tcPr>
          <w:p w14:paraId="12F828A1" w14:textId="77777777" w:rsidR="004D6C43" w:rsidRDefault="00000000">
            <w:pPr>
              <w:keepNext/>
              <w:keepLines/>
              <w:spacing w:before="120" w:after="240" w:line="252" w:lineRule="auto"/>
              <w:ind w:firstLine="0"/>
              <w:jc w:val="center"/>
            </w:pPr>
            <w:r>
              <w:rPr>
                <w:rFonts w:eastAsia="Songti SC"/>
                <w:color w:val="000000"/>
              </w:rPr>
              <w:t>-1.50</w:t>
            </w:r>
          </w:p>
        </w:tc>
        <w:tc>
          <w:tcPr>
            <w:tcW w:w="1152" w:type="dxa"/>
            <w:tcBorders>
              <w:top w:val="nil"/>
              <w:left w:val="nil"/>
              <w:bottom w:val="nil"/>
              <w:right w:val="nil"/>
            </w:tcBorders>
            <w:tcMar>
              <w:top w:w="80" w:type="dxa"/>
              <w:left w:w="90" w:type="dxa"/>
              <w:bottom w:w="80" w:type="dxa"/>
              <w:right w:w="90" w:type="dxa"/>
            </w:tcMar>
            <w:vAlign w:val="center"/>
          </w:tcPr>
          <w:p w14:paraId="553B6362" w14:textId="77777777" w:rsidR="004D6C43" w:rsidRDefault="00000000">
            <w:pPr>
              <w:keepNext/>
              <w:keepLines/>
              <w:spacing w:before="120" w:after="240" w:line="252" w:lineRule="auto"/>
              <w:ind w:firstLine="0"/>
              <w:jc w:val="center"/>
            </w:pPr>
            <w:r>
              <w:rPr>
                <w:rFonts w:eastAsia="Songti SC"/>
                <w:color w:val="000000"/>
              </w:rPr>
              <w:t>9.75</w:t>
            </w:r>
          </w:p>
        </w:tc>
        <w:tc>
          <w:tcPr>
            <w:tcW w:w="1152" w:type="dxa"/>
            <w:tcBorders>
              <w:top w:val="nil"/>
              <w:left w:val="nil"/>
              <w:bottom w:val="nil"/>
              <w:right w:val="nil"/>
            </w:tcBorders>
            <w:tcMar>
              <w:top w:w="80" w:type="dxa"/>
              <w:left w:w="90" w:type="dxa"/>
              <w:bottom w:w="80" w:type="dxa"/>
              <w:right w:w="90" w:type="dxa"/>
            </w:tcMar>
            <w:vAlign w:val="center"/>
          </w:tcPr>
          <w:p w14:paraId="62607799" w14:textId="77777777" w:rsidR="004D6C43" w:rsidRDefault="00000000">
            <w:pPr>
              <w:keepNext/>
              <w:keepLines/>
              <w:spacing w:before="120" w:after="240" w:line="252" w:lineRule="auto"/>
              <w:ind w:firstLine="0"/>
              <w:jc w:val="center"/>
            </w:pPr>
            <w:r>
              <w:rPr>
                <w:rFonts w:eastAsia="Songti SC"/>
                <w:color w:val="000000"/>
              </w:rPr>
              <w:t>-3.46</w:t>
            </w:r>
          </w:p>
        </w:tc>
        <w:tc>
          <w:tcPr>
            <w:tcW w:w="1152" w:type="dxa"/>
            <w:tcBorders>
              <w:top w:val="nil"/>
              <w:left w:val="nil"/>
              <w:bottom w:val="nil"/>
              <w:right w:val="nil"/>
            </w:tcBorders>
            <w:tcMar>
              <w:top w:w="80" w:type="dxa"/>
              <w:left w:w="90" w:type="dxa"/>
              <w:bottom w:w="80" w:type="dxa"/>
              <w:right w:w="90" w:type="dxa"/>
            </w:tcMar>
            <w:vAlign w:val="center"/>
          </w:tcPr>
          <w:p w14:paraId="29D90FFC" w14:textId="77777777" w:rsidR="004D6C43" w:rsidRDefault="00000000">
            <w:pPr>
              <w:keepNext/>
              <w:keepLines/>
              <w:spacing w:before="120" w:after="240" w:line="252" w:lineRule="auto"/>
              <w:ind w:firstLine="0"/>
              <w:jc w:val="center"/>
            </w:pPr>
            <w:r>
              <w:rPr>
                <w:rFonts w:eastAsia="Songti SC"/>
                <w:color w:val="000000"/>
              </w:rPr>
              <w:t>5.16</w:t>
            </w:r>
          </w:p>
        </w:tc>
        <w:tc>
          <w:tcPr>
            <w:tcW w:w="1209" w:type="dxa"/>
            <w:tcBorders>
              <w:top w:val="nil"/>
              <w:left w:val="nil"/>
              <w:bottom w:val="nil"/>
              <w:right w:val="nil"/>
            </w:tcBorders>
            <w:tcMar>
              <w:top w:w="80" w:type="dxa"/>
              <w:left w:w="90" w:type="dxa"/>
              <w:bottom w:w="80" w:type="dxa"/>
              <w:right w:w="90" w:type="dxa"/>
            </w:tcMar>
            <w:vAlign w:val="center"/>
          </w:tcPr>
          <w:p w14:paraId="07470381" w14:textId="77777777" w:rsidR="004D6C43" w:rsidRDefault="00000000">
            <w:pPr>
              <w:keepNext/>
              <w:keepLines/>
              <w:spacing w:before="120" w:after="240" w:line="252" w:lineRule="auto"/>
              <w:ind w:firstLine="0"/>
              <w:jc w:val="center"/>
            </w:pPr>
            <w:r>
              <w:rPr>
                <w:rFonts w:eastAsia="Songti SC"/>
                <w:color w:val="000000"/>
              </w:rPr>
              <w:t>15.29</w:t>
            </w:r>
          </w:p>
        </w:tc>
      </w:tr>
      <w:tr w:rsidR="004D6C43" w14:paraId="6600929D" w14:textId="77777777">
        <w:trPr>
          <w:cantSplit/>
          <w:jc w:val="center"/>
        </w:trPr>
        <w:tc>
          <w:tcPr>
            <w:tcW w:w="2059" w:type="dxa"/>
            <w:tcBorders>
              <w:top w:val="nil"/>
              <w:left w:val="nil"/>
              <w:bottom w:val="nil"/>
              <w:right w:val="nil"/>
            </w:tcBorders>
            <w:tcMar>
              <w:top w:w="80" w:type="dxa"/>
              <w:left w:w="90" w:type="dxa"/>
              <w:bottom w:w="80" w:type="dxa"/>
              <w:right w:w="90" w:type="dxa"/>
            </w:tcMar>
            <w:vAlign w:val="center"/>
          </w:tcPr>
          <w:p w14:paraId="15475C6A" w14:textId="77777777" w:rsidR="004D6C43" w:rsidRDefault="00000000">
            <w:pPr>
              <w:keepNext/>
              <w:keepLines/>
              <w:spacing w:before="120" w:after="240" w:line="252" w:lineRule="auto"/>
              <w:ind w:firstLine="0"/>
            </w:pPr>
            <w:r>
              <w:rPr>
                <w:rFonts w:eastAsia="Songti SC"/>
                <w:color w:val="000000"/>
              </w:rPr>
              <w:t>排除机构账号</w:t>
            </w:r>
          </w:p>
        </w:tc>
        <w:tc>
          <w:tcPr>
            <w:tcW w:w="1152" w:type="dxa"/>
            <w:tcBorders>
              <w:top w:val="nil"/>
              <w:left w:val="nil"/>
              <w:bottom w:val="nil"/>
              <w:right w:val="nil"/>
            </w:tcBorders>
            <w:tcMar>
              <w:top w:w="80" w:type="dxa"/>
              <w:left w:w="90" w:type="dxa"/>
              <w:bottom w:w="80" w:type="dxa"/>
              <w:right w:w="90" w:type="dxa"/>
            </w:tcMar>
            <w:vAlign w:val="center"/>
          </w:tcPr>
          <w:p w14:paraId="6DB102A8" w14:textId="77777777" w:rsidR="004D6C43" w:rsidRDefault="00000000">
            <w:pPr>
              <w:keepNext/>
              <w:keepLines/>
              <w:spacing w:before="120" w:after="240" w:line="252" w:lineRule="auto"/>
              <w:ind w:firstLine="0"/>
              <w:jc w:val="center"/>
            </w:pPr>
            <w:r>
              <w:rPr>
                <w:rFonts w:eastAsia="Songti SC"/>
                <w:color w:val="000000"/>
              </w:rPr>
              <w:t>2.28</w:t>
            </w:r>
          </w:p>
        </w:tc>
        <w:tc>
          <w:tcPr>
            <w:tcW w:w="1152" w:type="dxa"/>
            <w:tcBorders>
              <w:top w:val="nil"/>
              <w:left w:val="nil"/>
              <w:bottom w:val="nil"/>
              <w:right w:val="nil"/>
            </w:tcBorders>
            <w:tcMar>
              <w:top w:w="80" w:type="dxa"/>
              <w:left w:w="90" w:type="dxa"/>
              <w:bottom w:w="80" w:type="dxa"/>
              <w:right w:w="90" w:type="dxa"/>
            </w:tcMar>
            <w:vAlign w:val="center"/>
          </w:tcPr>
          <w:p w14:paraId="3ABFD10E" w14:textId="77777777" w:rsidR="004D6C43" w:rsidRDefault="00000000">
            <w:pPr>
              <w:keepNext/>
              <w:keepLines/>
              <w:spacing w:before="120" w:after="240" w:line="252" w:lineRule="auto"/>
              <w:ind w:firstLine="0"/>
              <w:jc w:val="center"/>
            </w:pPr>
            <w:r>
              <w:rPr>
                <w:rFonts w:eastAsia="Songti SC"/>
                <w:color w:val="000000"/>
              </w:rPr>
              <w:t>-0.80</w:t>
            </w:r>
          </w:p>
        </w:tc>
        <w:tc>
          <w:tcPr>
            <w:tcW w:w="1152" w:type="dxa"/>
            <w:tcBorders>
              <w:top w:val="nil"/>
              <w:left w:val="nil"/>
              <w:bottom w:val="nil"/>
              <w:right w:val="nil"/>
            </w:tcBorders>
            <w:tcMar>
              <w:top w:w="80" w:type="dxa"/>
              <w:left w:w="90" w:type="dxa"/>
              <w:bottom w:w="80" w:type="dxa"/>
              <w:right w:w="90" w:type="dxa"/>
            </w:tcMar>
            <w:vAlign w:val="center"/>
          </w:tcPr>
          <w:p w14:paraId="6BC3E0D2" w14:textId="77777777" w:rsidR="004D6C43" w:rsidRDefault="00000000">
            <w:pPr>
              <w:keepNext/>
              <w:keepLines/>
              <w:spacing w:before="120" w:after="240" w:line="252" w:lineRule="auto"/>
              <w:ind w:firstLine="0"/>
              <w:jc w:val="center"/>
            </w:pPr>
            <w:r>
              <w:rPr>
                <w:rFonts w:eastAsia="Songti SC"/>
                <w:color w:val="000000"/>
              </w:rPr>
              <w:t>3.93</w:t>
            </w:r>
          </w:p>
        </w:tc>
        <w:tc>
          <w:tcPr>
            <w:tcW w:w="1152" w:type="dxa"/>
            <w:tcBorders>
              <w:top w:val="nil"/>
              <w:left w:val="nil"/>
              <w:bottom w:val="nil"/>
              <w:right w:val="nil"/>
            </w:tcBorders>
            <w:tcMar>
              <w:top w:w="80" w:type="dxa"/>
              <w:left w:w="90" w:type="dxa"/>
              <w:bottom w:w="80" w:type="dxa"/>
              <w:right w:w="90" w:type="dxa"/>
            </w:tcMar>
            <w:vAlign w:val="center"/>
          </w:tcPr>
          <w:p w14:paraId="5494D737" w14:textId="77777777" w:rsidR="004D6C43" w:rsidRDefault="00000000">
            <w:pPr>
              <w:keepNext/>
              <w:keepLines/>
              <w:spacing w:before="120" w:after="240" w:line="252" w:lineRule="auto"/>
              <w:ind w:firstLine="0"/>
              <w:jc w:val="center"/>
            </w:pPr>
            <w:r>
              <w:rPr>
                <w:rFonts w:eastAsia="Songti SC"/>
                <w:color w:val="000000"/>
              </w:rPr>
              <w:t>-3.06</w:t>
            </w:r>
          </w:p>
        </w:tc>
        <w:tc>
          <w:tcPr>
            <w:tcW w:w="1152" w:type="dxa"/>
            <w:tcBorders>
              <w:top w:val="nil"/>
              <w:left w:val="nil"/>
              <w:bottom w:val="nil"/>
              <w:right w:val="nil"/>
            </w:tcBorders>
            <w:tcMar>
              <w:top w:w="80" w:type="dxa"/>
              <w:left w:w="90" w:type="dxa"/>
              <w:bottom w:w="80" w:type="dxa"/>
              <w:right w:w="90" w:type="dxa"/>
            </w:tcMar>
            <w:vAlign w:val="center"/>
          </w:tcPr>
          <w:p w14:paraId="6D114DA4" w14:textId="77777777" w:rsidR="004D6C43" w:rsidRDefault="00000000">
            <w:pPr>
              <w:keepNext/>
              <w:keepLines/>
              <w:spacing w:before="120" w:after="240" w:line="252" w:lineRule="auto"/>
              <w:ind w:firstLine="0"/>
              <w:jc w:val="center"/>
            </w:pPr>
            <w:r>
              <w:rPr>
                <w:rFonts w:eastAsia="Songti SC"/>
                <w:color w:val="000000"/>
              </w:rPr>
              <w:t>3.16</w:t>
            </w:r>
          </w:p>
        </w:tc>
        <w:tc>
          <w:tcPr>
            <w:tcW w:w="1209" w:type="dxa"/>
            <w:tcBorders>
              <w:top w:val="nil"/>
              <w:left w:val="nil"/>
              <w:bottom w:val="nil"/>
              <w:right w:val="nil"/>
            </w:tcBorders>
            <w:tcMar>
              <w:top w:w="80" w:type="dxa"/>
              <w:left w:w="90" w:type="dxa"/>
              <w:bottom w:w="80" w:type="dxa"/>
              <w:right w:w="90" w:type="dxa"/>
            </w:tcMar>
            <w:vAlign w:val="center"/>
          </w:tcPr>
          <w:p w14:paraId="4BDC85A9" w14:textId="77777777" w:rsidR="004D6C43" w:rsidRDefault="00000000">
            <w:pPr>
              <w:keepNext/>
              <w:keepLines/>
              <w:spacing w:before="120" w:after="240" w:line="252" w:lineRule="auto"/>
              <w:ind w:firstLine="0"/>
              <w:jc w:val="center"/>
            </w:pPr>
            <w:r>
              <w:rPr>
                <w:rFonts w:eastAsia="Songti SC"/>
                <w:color w:val="000000"/>
              </w:rPr>
              <w:t>8.34</w:t>
            </w:r>
          </w:p>
        </w:tc>
      </w:tr>
      <w:tr w:rsidR="004D6C43" w14:paraId="086CF12C" w14:textId="77777777">
        <w:trPr>
          <w:cantSplit/>
          <w:jc w:val="center"/>
        </w:trPr>
        <w:tc>
          <w:tcPr>
            <w:tcW w:w="2059" w:type="dxa"/>
            <w:tcBorders>
              <w:top w:val="nil"/>
              <w:left w:val="nil"/>
              <w:bottom w:val="nil"/>
              <w:right w:val="nil"/>
            </w:tcBorders>
            <w:tcMar>
              <w:top w:w="80" w:type="dxa"/>
              <w:left w:w="90" w:type="dxa"/>
              <w:bottom w:w="80" w:type="dxa"/>
              <w:right w:w="90" w:type="dxa"/>
            </w:tcMar>
            <w:vAlign w:val="center"/>
          </w:tcPr>
          <w:p w14:paraId="3F05724B" w14:textId="77777777" w:rsidR="004D6C43" w:rsidRDefault="00000000">
            <w:pPr>
              <w:keepNext/>
              <w:keepLines/>
              <w:spacing w:before="120" w:after="240" w:line="252" w:lineRule="auto"/>
              <w:ind w:firstLine="0"/>
            </w:pPr>
            <w:r>
              <w:rPr>
                <w:rFonts w:eastAsia="Songti SC"/>
                <w:color w:val="000000"/>
              </w:rPr>
              <w:t>只保留普通个人账号</w:t>
            </w:r>
          </w:p>
        </w:tc>
        <w:tc>
          <w:tcPr>
            <w:tcW w:w="1152" w:type="dxa"/>
            <w:tcBorders>
              <w:top w:val="nil"/>
              <w:left w:val="nil"/>
              <w:bottom w:val="nil"/>
              <w:right w:val="nil"/>
            </w:tcBorders>
            <w:tcMar>
              <w:top w:w="80" w:type="dxa"/>
              <w:left w:w="90" w:type="dxa"/>
              <w:bottom w:w="80" w:type="dxa"/>
              <w:right w:w="90" w:type="dxa"/>
            </w:tcMar>
            <w:vAlign w:val="center"/>
          </w:tcPr>
          <w:p w14:paraId="4EFE783E" w14:textId="77777777" w:rsidR="004D6C43" w:rsidRDefault="00000000">
            <w:pPr>
              <w:keepNext/>
              <w:keepLines/>
              <w:spacing w:before="120" w:after="240" w:line="252" w:lineRule="auto"/>
              <w:ind w:firstLine="0"/>
              <w:jc w:val="center"/>
            </w:pPr>
            <w:r>
              <w:rPr>
                <w:rFonts w:eastAsia="Songti SC"/>
                <w:color w:val="000000"/>
              </w:rPr>
              <w:t>2.01</w:t>
            </w:r>
          </w:p>
        </w:tc>
        <w:tc>
          <w:tcPr>
            <w:tcW w:w="1152" w:type="dxa"/>
            <w:tcBorders>
              <w:top w:val="nil"/>
              <w:left w:val="nil"/>
              <w:bottom w:val="nil"/>
              <w:right w:val="nil"/>
            </w:tcBorders>
            <w:tcMar>
              <w:top w:w="80" w:type="dxa"/>
              <w:left w:w="90" w:type="dxa"/>
              <w:bottom w:w="80" w:type="dxa"/>
              <w:right w:w="90" w:type="dxa"/>
            </w:tcMar>
            <w:vAlign w:val="center"/>
          </w:tcPr>
          <w:p w14:paraId="1357C9ED" w14:textId="77777777" w:rsidR="004D6C43" w:rsidRDefault="00000000">
            <w:pPr>
              <w:keepNext/>
              <w:keepLines/>
              <w:spacing w:before="120" w:after="240" w:line="252" w:lineRule="auto"/>
              <w:ind w:firstLine="0"/>
              <w:jc w:val="center"/>
            </w:pPr>
            <w:r>
              <w:rPr>
                <w:rFonts w:eastAsia="Songti SC"/>
                <w:color w:val="000000"/>
              </w:rPr>
              <w:t>-0.54</w:t>
            </w:r>
          </w:p>
        </w:tc>
        <w:tc>
          <w:tcPr>
            <w:tcW w:w="1152" w:type="dxa"/>
            <w:tcBorders>
              <w:top w:val="nil"/>
              <w:left w:val="nil"/>
              <w:bottom w:val="nil"/>
              <w:right w:val="nil"/>
            </w:tcBorders>
            <w:tcMar>
              <w:top w:w="80" w:type="dxa"/>
              <w:left w:w="90" w:type="dxa"/>
              <w:bottom w:w="80" w:type="dxa"/>
              <w:right w:w="90" w:type="dxa"/>
            </w:tcMar>
            <w:vAlign w:val="center"/>
          </w:tcPr>
          <w:p w14:paraId="29EA560D" w14:textId="77777777" w:rsidR="004D6C43" w:rsidRDefault="00000000">
            <w:pPr>
              <w:keepNext/>
              <w:keepLines/>
              <w:spacing w:before="120" w:after="240" w:line="252" w:lineRule="auto"/>
              <w:ind w:firstLine="0"/>
              <w:jc w:val="center"/>
            </w:pPr>
            <w:r>
              <w:rPr>
                <w:rFonts w:eastAsia="Songti SC"/>
                <w:color w:val="000000"/>
              </w:rPr>
              <w:t>3.60</w:t>
            </w:r>
          </w:p>
        </w:tc>
        <w:tc>
          <w:tcPr>
            <w:tcW w:w="1152" w:type="dxa"/>
            <w:tcBorders>
              <w:top w:val="nil"/>
              <w:left w:val="nil"/>
              <w:bottom w:val="nil"/>
              <w:right w:val="nil"/>
            </w:tcBorders>
            <w:tcMar>
              <w:top w:w="80" w:type="dxa"/>
              <w:left w:w="90" w:type="dxa"/>
              <w:bottom w:w="80" w:type="dxa"/>
              <w:right w:w="90" w:type="dxa"/>
            </w:tcMar>
            <w:vAlign w:val="center"/>
          </w:tcPr>
          <w:p w14:paraId="1DF3F91B" w14:textId="77777777" w:rsidR="004D6C43" w:rsidRDefault="00000000">
            <w:pPr>
              <w:keepNext/>
              <w:keepLines/>
              <w:spacing w:before="120" w:after="240" w:line="252" w:lineRule="auto"/>
              <w:ind w:firstLine="0"/>
              <w:jc w:val="center"/>
            </w:pPr>
            <w:r>
              <w:rPr>
                <w:rFonts w:eastAsia="Songti SC"/>
                <w:color w:val="000000"/>
              </w:rPr>
              <w:t>-2.66</w:t>
            </w:r>
          </w:p>
        </w:tc>
        <w:tc>
          <w:tcPr>
            <w:tcW w:w="1152" w:type="dxa"/>
            <w:tcBorders>
              <w:top w:val="nil"/>
              <w:left w:val="nil"/>
              <w:bottom w:val="nil"/>
              <w:right w:val="nil"/>
            </w:tcBorders>
            <w:tcMar>
              <w:top w:w="80" w:type="dxa"/>
              <w:left w:w="90" w:type="dxa"/>
              <w:bottom w:w="80" w:type="dxa"/>
              <w:right w:w="90" w:type="dxa"/>
            </w:tcMar>
            <w:vAlign w:val="center"/>
          </w:tcPr>
          <w:p w14:paraId="33A8461E" w14:textId="77777777" w:rsidR="004D6C43" w:rsidRDefault="00000000">
            <w:pPr>
              <w:keepNext/>
              <w:keepLines/>
              <w:spacing w:before="120" w:after="240" w:line="252" w:lineRule="auto"/>
              <w:ind w:firstLine="0"/>
              <w:jc w:val="center"/>
            </w:pPr>
            <w:r>
              <w:rPr>
                <w:rFonts w:eastAsia="Songti SC"/>
                <w:color w:val="000000"/>
              </w:rPr>
              <w:t>2.64</w:t>
            </w:r>
          </w:p>
        </w:tc>
        <w:tc>
          <w:tcPr>
            <w:tcW w:w="1209" w:type="dxa"/>
            <w:tcBorders>
              <w:top w:val="nil"/>
              <w:left w:val="nil"/>
              <w:bottom w:val="nil"/>
              <w:right w:val="nil"/>
            </w:tcBorders>
            <w:tcMar>
              <w:top w:w="80" w:type="dxa"/>
              <w:left w:w="90" w:type="dxa"/>
              <w:bottom w:w="80" w:type="dxa"/>
              <w:right w:w="90" w:type="dxa"/>
            </w:tcMar>
            <w:vAlign w:val="center"/>
          </w:tcPr>
          <w:p w14:paraId="5996C769" w14:textId="77777777" w:rsidR="004D6C43" w:rsidRDefault="00000000">
            <w:pPr>
              <w:keepNext/>
              <w:keepLines/>
              <w:spacing w:before="120" w:after="240" w:line="252" w:lineRule="auto"/>
              <w:ind w:firstLine="0"/>
              <w:jc w:val="center"/>
            </w:pPr>
            <w:r>
              <w:rPr>
                <w:rFonts w:eastAsia="Songti SC"/>
                <w:color w:val="000000"/>
              </w:rPr>
              <w:t>7.21</w:t>
            </w:r>
          </w:p>
        </w:tc>
      </w:tr>
      <w:tr w:rsidR="004D6C43" w14:paraId="6256C73D" w14:textId="77777777">
        <w:trPr>
          <w:cantSplit/>
          <w:jc w:val="center"/>
        </w:trPr>
        <w:tc>
          <w:tcPr>
            <w:tcW w:w="2059" w:type="dxa"/>
            <w:tcBorders>
              <w:top w:val="nil"/>
              <w:left w:val="nil"/>
              <w:bottom w:val="nil"/>
              <w:right w:val="nil"/>
            </w:tcBorders>
            <w:tcMar>
              <w:top w:w="80" w:type="dxa"/>
              <w:left w:w="90" w:type="dxa"/>
              <w:bottom w:w="80" w:type="dxa"/>
              <w:right w:w="90" w:type="dxa"/>
            </w:tcMar>
            <w:vAlign w:val="center"/>
          </w:tcPr>
          <w:p w14:paraId="566CD949" w14:textId="77777777" w:rsidR="004D6C43" w:rsidRDefault="00000000">
            <w:pPr>
              <w:keepNext/>
              <w:keepLines/>
              <w:spacing w:before="120" w:after="240" w:line="252" w:lineRule="auto"/>
              <w:ind w:firstLine="0"/>
            </w:pPr>
            <w:r>
              <w:rPr>
                <w:rFonts w:eastAsia="Songti SC"/>
                <w:color w:val="000000"/>
              </w:rPr>
              <w:t>只保留认证个人账号</w:t>
            </w:r>
          </w:p>
        </w:tc>
        <w:tc>
          <w:tcPr>
            <w:tcW w:w="1152" w:type="dxa"/>
            <w:tcBorders>
              <w:top w:val="nil"/>
              <w:left w:val="nil"/>
              <w:bottom w:val="nil"/>
              <w:right w:val="nil"/>
            </w:tcBorders>
            <w:tcMar>
              <w:top w:w="80" w:type="dxa"/>
              <w:left w:w="90" w:type="dxa"/>
              <w:bottom w:w="80" w:type="dxa"/>
              <w:right w:w="90" w:type="dxa"/>
            </w:tcMar>
            <w:vAlign w:val="center"/>
          </w:tcPr>
          <w:p w14:paraId="28D8971E" w14:textId="77777777" w:rsidR="004D6C43" w:rsidRDefault="00000000">
            <w:pPr>
              <w:keepNext/>
              <w:keepLines/>
              <w:spacing w:before="120" w:after="240" w:line="252" w:lineRule="auto"/>
              <w:ind w:firstLine="0"/>
              <w:jc w:val="center"/>
            </w:pPr>
            <w:r>
              <w:rPr>
                <w:rFonts w:eastAsia="Songti SC"/>
                <w:color w:val="000000"/>
              </w:rPr>
              <w:t>3.38</w:t>
            </w:r>
          </w:p>
        </w:tc>
        <w:tc>
          <w:tcPr>
            <w:tcW w:w="1152" w:type="dxa"/>
            <w:tcBorders>
              <w:top w:val="nil"/>
              <w:left w:val="nil"/>
              <w:bottom w:val="nil"/>
              <w:right w:val="nil"/>
            </w:tcBorders>
            <w:tcMar>
              <w:top w:w="80" w:type="dxa"/>
              <w:left w:w="90" w:type="dxa"/>
              <w:bottom w:w="80" w:type="dxa"/>
              <w:right w:w="90" w:type="dxa"/>
            </w:tcMar>
            <w:vAlign w:val="center"/>
          </w:tcPr>
          <w:p w14:paraId="182A2C53" w14:textId="77777777" w:rsidR="004D6C43" w:rsidRDefault="00000000">
            <w:pPr>
              <w:keepNext/>
              <w:keepLines/>
              <w:spacing w:before="120" w:after="240" w:line="252" w:lineRule="auto"/>
              <w:ind w:firstLine="0"/>
              <w:jc w:val="center"/>
            </w:pPr>
            <w:r>
              <w:rPr>
                <w:rFonts w:eastAsia="Songti SC"/>
                <w:color w:val="000000"/>
              </w:rPr>
              <w:t>-1.69</w:t>
            </w:r>
          </w:p>
        </w:tc>
        <w:tc>
          <w:tcPr>
            <w:tcW w:w="1152" w:type="dxa"/>
            <w:tcBorders>
              <w:top w:val="nil"/>
              <w:left w:val="nil"/>
              <w:bottom w:val="nil"/>
              <w:right w:val="nil"/>
            </w:tcBorders>
            <w:tcMar>
              <w:top w:w="80" w:type="dxa"/>
              <w:left w:w="90" w:type="dxa"/>
              <w:bottom w:w="80" w:type="dxa"/>
              <w:right w:w="90" w:type="dxa"/>
            </w:tcMar>
            <w:vAlign w:val="center"/>
          </w:tcPr>
          <w:p w14:paraId="24F31823" w14:textId="77777777" w:rsidR="004D6C43" w:rsidRDefault="00000000">
            <w:pPr>
              <w:keepNext/>
              <w:keepLines/>
              <w:spacing w:before="120" w:after="240" w:line="252" w:lineRule="auto"/>
              <w:ind w:firstLine="0"/>
              <w:jc w:val="center"/>
            </w:pPr>
            <w:r>
              <w:rPr>
                <w:rFonts w:eastAsia="Songti SC"/>
                <w:color w:val="000000"/>
              </w:rPr>
              <w:t>5.46</w:t>
            </w:r>
          </w:p>
        </w:tc>
        <w:tc>
          <w:tcPr>
            <w:tcW w:w="1152" w:type="dxa"/>
            <w:tcBorders>
              <w:top w:val="nil"/>
              <w:left w:val="nil"/>
              <w:bottom w:val="nil"/>
              <w:right w:val="nil"/>
            </w:tcBorders>
            <w:tcMar>
              <w:top w:w="80" w:type="dxa"/>
              <w:left w:w="90" w:type="dxa"/>
              <w:bottom w:w="80" w:type="dxa"/>
              <w:right w:w="90" w:type="dxa"/>
            </w:tcMar>
            <w:vAlign w:val="center"/>
          </w:tcPr>
          <w:p w14:paraId="1CF1C218" w14:textId="77777777" w:rsidR="004D6C43" w:rsidRDefault="00000000">
            <w:pPr>
              <w:keepNext/>
              <w:keepLines/>
              <w:spacing w:before="120" w:after="240" w:line="252" w:lineRule="auto"/>
              <w:ind w:firstLine="0"/>
              <w:jc w:val="center"/>
            </w:pPr>
            <w:r>
              <w:rPr>
                <w:rFonts w:eastAsia="Songti SC"/>
                <w:color w:val="000000"/>
              </w:rPr>
              <w:t>-4.48</w:t>
            </w:r>
          </w:p>
        </w:tc>
        <w:tc>
          <w:tcPr>
            <w:tcW w:w="1152" w:type="dxa"/>
            <w:tcBorders>
              <w:top w:val="nil"/>
              <w:left w:val="nil"/>
              <w:bottom w:val="nil"/>
              <w:right w:val="nil"/>
            </w:tcBorders>
            <w:tcMar>
              <w:top w:w="80" w:type="dxa"/>
              <w:left w:w="90" w:type="dxa"/>
              <w:bottom w:w="80" w:type="dxa"/>
              <w:right w:w="90" w:type="dxa"/>
            </w:tcMar>
            <w:vAlign w:val="center"/>
          </w:tcPr>
          <w:p w14:paraId="01AFE239" w14:textId="77777777" w:rsidR="004D6C43" w:rsidRDefault="00000000">
            <w:pPr>
              <w:keepNext/>
              <w:keepLines/>
              <w:spacing w:before="120" w:after="240" w:line="252" w:lineRule="auto"/>
              <w:ind w:firstLine="0"/>
              <w:jc w:val="center"/>
            </w:pPr>
            <w:r>
              <w:rPr>
                <w:rFonts w:eastAsia="Songti SC"/>
                <w:color w:val="000000"/>
              </w:rPr>
              <w:t>5.26</w:t>
            </w:r>
          </w:p>
        </w:tc>
        <w:tc>
          <w:tcPr>
            <w:tcW w:w="1209" w:type="dxa"/>
            <w:tcBorders>
              <w:top w:val="nil"/>
              <w:left w:val="nil"/>
              <w:bottom w:val="nil"/>
              <w:right w:val="nil"/>
            </w:tcBorders>
            <w:tcMar>
              <w:top w:w="80" w:type="dxa"/>
              <w:left w:w="90" w:type="dxa"/>
              <w:bottom w:w="80" w:type="dxa"/>
              <w:right w:w="90" w:type="dxa"/>
            </w:tcMar>
            <w:vAlign w:val="center"/>
          </w:tcPr>
          <w:p w14:paraId="53864D78" w14:textId="77777777" w:rsidR="004D6C43" w:rsidRDefault="00000000">
            <w:pPr>
              <w:keepNext/>
              <w:keepLines/>
              <w:spacing w:before="120" w:after="240" w:line="252" w:lineRule="auto"/>
              <w:ind w:firstLine="0"/>
              <w:jc w:val="center"/>
            </w:pPr>
            <w:r>
              <w:rPr>
                <w:rFonts w:eastAsia="Songti SC"/>
                <w:color w:val="000000"/>
              </w:rPr>
              <w:t>13.61</w:t>
            </w:r>
          </w:p>
        </w:tc>
      </w:tr>
      <w:tr w:rsidR="004D6C43" w14:paraId="254A9A9C" w14:textId="77777777">
        <w:trPr>
          <w:cantSplit/>
          <w:jc w:val="center"/>
        </w:trPr>
        <w:tc>
          <w:tcPr>
            <w:tcW w:w="2059" w:type="dxa"/>
            <w:tcBorders>
              <w:top w:val="nil"/>
              <w:left w:val="nil"/>
              <w:bottom w:val="nil"/>
              <w:right w:val="nil"/>
            </w:tcBorders>
            <w:tcMar>
              <w:top w:w="80" w:type="dxa"/>
              <w:left w:w="90" w:type="dxa"/>
              <w:bottom w:w="80" w:type="dxa"/>
              <w:right w:w="90" w:type="dxa"/>
            </w:tcMar>
            <w:vAlign w:val="center"/>
          </w:tcPr>
          <w:p w14:paraId="36266D6A" w14:textId="77777777" w:rsidR="004D6C43" w:rsidRDefault="00000000">
            <w:pPr>
              <w:keepNext/>
              <w:keepLines/>
              <w:spacing w:before="120" w:after="240" w:line="252" w:lineRule="auto"/>
              <w:ind w:firstLine="0"/>
            </w:pPr>
            <w:r>
              <w:rPr>
                <w:rFonts w:eastAsia="Songti SC"/>
                <w:color w:val="000000"/>
              </w:rPr>
              <w:t>男女</w:t>
            </w:r>
            <w:r>
              <w:rPr>
                <w:rFonts w:eastAsia="Songti SC"/>
                <w:color w:val="000000"/>
              </w:rPr>
              <w:t>1∶1</w:t>
            </w:r>
            <w:r>
              <w:rPr>
                <w:rFonts w:eastAsia="Songti SC"/>
                <w:color w:val="000000"/>
              </w:rPr>
              <w:t>匹配样本</w:t>
            </w:r>
          </w:p>
        </w:tc>
        <w:tc>
          <w:tcPr>
            <w:tcW w:w="1152" w:type="dxa"/>
            <w:tcBorders>
              <w:top w:val="nil"/>
              <w:left w:val="nil"/>
              <w:bottom w:val="nil"/>
              <w:right w:val="nil"/>
            </w:tcBorders>
            <w:tcMar>
              <w:top w:w="80" w:type="dxa"/>
              <w:left w:w="90" w:type="dxa"/>
              <w:bottom w:w="80" w:type="dxa"/>
              <w:right w:w="90" w:type="dxa"/>
            </w:tcMar>
            <w:vAlign w:val="center"/>
          </w:tcPr>
          <w:p w14:paraId="7B4057D1" w14:textId="77777777" w:rsidR="004D6C43" w:rsidRDefault="00000000">
            <w:pPr>
              <w:keepNext/>
              <w:keepLines/>
              <w:spacing w:before="120" w:after="240" w:line="252" w:lineRule="auto"/>
              <w:ind w:firstLine="0"/>
              <w:jc w:val="center"/>
            </w:pPr>
            <w:r>
              <w:rPr>
                <w:rFonts w:eastAsia="Songti SC"/>
                <w:color w:val="000000"/>
              </w:rPr>
              <w:t>3.28</w:t>
            </w:r>
          </w:p>
        </w:tc>
        <w:tc>
          <w:tcPr>
            <w:tcW w:w="1152" w:type="dxa"/>
            <w:tcBorders>
              <w:top w:val="nil"/>
              <w:left w:val="nil"/>
              <w:bottom w:val="nil"/>
              <w:right w:val="nil"/>
            </w:tcBorders>
            <w:tcMar>
              <w:top w:w="80" w:type="dxa"/>
              <w:left w:w="90" w:type="dxa"/>
              <w:bottom w:w="80" w:type="dxa"/>
              <w:right w:w="90" w:type="dxa"/>
            </w:tcMar>
            <w:vAlign w:val="center"/>
          </w:tcPr>
          <w:p w14:paraId="6E75E4BC" w14:textId="77777777" w:rsidR="004D6C43" w:rsidRDefault="00000000">
            <w:pPr>
              <w:keepNext/>
              <w:keepLines/>
              <w:spacing w:before="120" w:after="240" w:line="252" w:lineRule="auto"/>
              <w:ind w:firstLine="0"/>
              <w:jc w:val="center"/>
            </w:pPr>
            <w:r>
              <w:rPr>
                <w:rFonts w:eastAsia="Songti SC"/>
                <w:color w:val="000000"/>
              </w:rPr>
              <w:t>-1.31</w:t>
            </w:r>
          </w:p>
        </w:tc>
        <w:tc>
          <w:tcPr>
            <w:tcW w:w="1152" w:type="dxa"/>
            <w:tcBorders>
              <w:top w:val="nil"/>
              <w:left w:val="nil"/>
              <w:bottom w:val="nil"/>
              <w:right w:val="nil"/>
            </w:tcBorders>
            <w:tcMar>
              <w:top w:w="80" w:type="dxa"/>
              <w:left w:w="90" w:type="dxa"/>
              <w:bottom w:w="80" w:type="dxa"/>
              <w:right w:w="90" w:type="dxa"/>
            </w:tcMar>
            <w:vAlign w:val="center"/>
          </w:tcPr>
          <w:p w14:paraId="3BD4EB38" w14:textId="77777777" w:rsidR="004D6C43" w:rsidRDefault="00000000">
            <w:pPr>
              <w:keepNext/>
              <w:keepLines/>
              <w:spacing w:before="120" w:after="240" w:line="252" w:lineRule="auto"/>
              <w:ind w:firstLine="0"/>
              <w:jc w:val="center"/>
            </w:pPr>
            <w:r>
              <w:rPr>
                <w:rFonts w:eastAsia="Songti SC"/>
                <w:color w:val="000000"/>
              </w:rPr>
              <w:t>9.71</w:t>
            </w:r>
          </w:p>
        </w:tc>
        <w:tc>
          <w:tcPr>
            <w:tcW w:w="1152" w:type="dxa"/>
            <w:tcBorders>
              <w:top w:val="nil"/>
              <w:left w:val="nil"/>
              <w:bottom w:val="nil"/>
              <w:right w:val="nil"/>
            </w:tcBorders>
            <w:tcMar>
              <w:top w:w="80" w:type="dxa"/>
              <w:left w:w="90" w:type="dxa"/>
              <w:bottom w:w="80" w:type="dxa"/>
              <w:right w:w="90" w:type="dxa"/>
            </w:tcMar>
            <w:vAlign w:val="center"/>
          </w:tcPr>
          <w:p w14:paraId="7250A4F9" w14:textId="77777777" w:rsidR="004D6C43" w:rsidRDefault="00000000">
            <w:pPr>
              <w:keepNext/>
              <w:keepLines/>
              <w:spacing w:before="120" w:after="240" w:line="252" w:lineRule="auto"/>
              <w:ind w:firstLine="0"/>
              <w:jc w:val="center"/>
            </w:pPr>
            <w:r>
              <w:rPr>
                <w:rFonts w:eastAsia="Songti SC"/>
                <w:color w:val="000000"/>
              </w:rPr>
              <w:t>-3.45</w:t>
            </w:r>
          </w:p>
        </w:tc>
        <w:tc>
          <w:tcPr>
            <w:tcW w:w="1152" w:type="dxa"/>
            <w:tcBorders>
              <w:top w:val="nil"/>
              <w:left w:val="nil"/>
              <w:bottom w:val="nil"/>
              <w:right w:val="nil"/>
            </w:tcBorders>
            <w:tcMar>
              <w:top w:w="80" w:type="dxa"/>
              <w:left w:w="90" w:type="dxa"/>
              <w:bottom w:w="80" w:type="dxa"/>
              <w:right w:w="90" w:type="dxa"/>
            </w:tcMar>
            <w:vAlign w:val="center"/>
          </w:tcPr>
          <w:p w14:paraId="1AD5D84C" w14:textId="77777777" w:rsidR="004D6C43" w:rsidRDefault="00000000">
            <w:pPr>
              <w:keepNext/>
              <w:keepLines/>
              <w:spacing w:before="120" w:after="240" w:line="252" w:lineRule="auto"/>
              <w:ind w:firstLine="0"/>
              <w:jc w:val="center"/>
            </w:pPr>
            <w:r>
              <w:rPr>
                <w:rFonts w:eastAsia="Songti SC"/>
                <w:color w:val="000000"/>
              </w:rPr>
              <w:t>4.66</w:t>
            </w:r>
          </w:p>
        </w:tc>
        <w:tc>
          <w:tcPr>
            <w:tcW w:w="1209" w:type="dxa"/>
            <w:tcBorders>
              <w:top w:val="nil"/>
              <w:left w:val="nil"/>
              <w:bottom w:val="nil"/>
              <w:right w:val="nil"/>
            </w:tcBorders>
            <w:tcMar>
              <w:top w:w="80" w:type="dxa"/>
              <w:left w:w="90" w:type="dxa"/>
              <w:bottom w:w="80" w:type="dxa"/>
              <w:right w:w="90" w:type="dxa"/>
            </w:tcMar>
            <w:vAlign w:val="center"/>
          </w:tcPr>
          <w:p w14:paraId="18D7AE68" w14:textId="77777777" w:rsidR="004D6C43" w:rsidRDefault="00000000">
            <w:pPr>
              <w:keepNext/>
              <w:keepLines/>
              <w:spacing w:before="120" w:after="240" w:line="252" w:lineRule="auto"/>
              <w:ind w:firstLine="0"/>
              <w:jc w:val="center"/>
            </w:pPr>
            <w:r>
              <w:rPr>
                <w:rFonts w:eastAsia="Songti SC"/>
                <w:color w:val="000000"/>
              </w:rPr>
              <w:t>13.53</w:t>
            </w:r>
          </w:p>
        </w:tc>
      </w:tr>
      <w:tr w:rsidR="004D6C43" w14:paraId="35AA2124" w14:textId="77777777">
        <w:trPr>
          <w:cantSplit/>
          <w:jc w:val="center"/>
        </w:trPr>
        <w:tc>
          <w:tcPr>
            <w:tcW w:w="2059" w:type="dxa"/>
            <w:tcBorders>
              <w:left w:val="nil"/>
              <w:bottom w:val="single" w:sz="12" w:space="0" w:color="000000"/>
              <w:right w:val="nil"/>
            </w:tcBorders>
            <w:tcMar>
              <w:top w:w="80" w:type="dxa"/>
              <w:left w:w="90" w:type="dxa"/>
              <w:bottom w:w="80" w:type="dxa"/>
              <w:right w:w="90" w:type="dxa"/>
            </w:tcMar>
            <w:vAlign w:val="center"/>
          </w:tcPr>
          <w:p w14:paraId="3A1A0972" w14:textId="77777777" w:rsidR="004D6C43" w:rsidRDefault="00000000">
            <w:pPr>
              <w:keepLines/>
              <w:spacing w:before="120" w:after="240" w:line="252" w:lineRule="auto"/>
              <w:ind w:firstLine="0"/>
              <w:rPr>
                <w:lang w:eastAsia="zh-CN"/>
              </w:rPr>
            </w:pPr>
            <w:r>
              <w:rPr>
                <w:rFonts w:eastAsia="Songti SC"/>
                <w:color w:val="000000"/>
                <w:lang w:eastAsia="zh-CN"/>
              </w:rPr>
              <w:t>排除疑似自动化或营销账号</w:t>
            </w:r>
          </w:p>
        </w:tc>
        <w:tc>
          <w:tcPr>
            <w:tcW w:w="1152" w:type="dxa"/>
            <w:tcBorders>
              <w:left w:val="nil"/>
              <w:bottom w:val="single" w:sz="12" w:space="0" w:color="000000"/>
              <w:right w:val="nil"/>
            </w:tcBorders>
            <w:tcMar>
              <w:top w:w="80" w:type="dxa"/>
              <w:left w:w="90" w:type="dxa"/>
              <w:bottom w:w="80" w:type="dxa"/>
              <w:right w:w="90" w:type="dxa"/>
            </w:tcMar>
            <w:vAlign w:val="center"/>
          </w:tcPr>
          <w:p w14:paraId="13E92BCA" w14:textId="77777777" w:rsidR="004D6C43" w:rsidRDefault="00000000">
            <w:pPr>
              <w:keepLines/>
              <w:spacing w:before="120" w:after="240" w:line="252" w:lineRule="auto"/>
              <w:ind w:firstLine="0"/>
              <w:jc w:val="center"/>
            </w:pPr>
            <w:r>
              <w:rPr>
                <w:rFonts w:eastAsia="Songti SC"/>
                <w:color w:val="000000"/>
              </w:rPr>
              <w:t>3.61</w:t>
            </w:r>
          </w:p>
        </w:tc>
        <w:tc>
          <w:tcPr>
            <w:tcW w:w="1152" w:type="dxa"/>
            <w:tcBorders>
              <w:left w:val="nil"/>
              <w:bottom w:val="single" w:sz="12" w:space="0" w:color="000000"/>
              <w:right w:val="nil"/>
            </w:tcBorders>
            <w:tcMar>
              <w:top w:w="80" w:type="dxa"/>
              <w:left w:w="90" w:type="dxa"/>
              <w:bottom w:w="80" w:type="dxa"/>
              <w:right w:w="90" w:type="dxa"/>
            </w:tcMar>
            <w:vAlign w:val="center"/>
          </w:tcPr>
          <w:p w14:paraId="7341A1E5" w14:textId="77777777" w:rsidR="004D6C43" w:rsidRDefault="00000000">
            <w:pPr>
              <w:keepLines/>
              <w:spacing w:before="120" w:after="240" w:line="252" w:lineRule="auto"/>
              <w:ind w:firstLine="0"/>
              <w:jc w:val="center"/>
            </w:pPr>
            <w:r>
              <w:rPr>
                <w:rFonts w:eastAsia="Songti SC"/>
                <w:color w:val="000000"/>
              </w:rPr>
              <w:t>-1.46</w:t>
            </w:r>
          </w:p>
        </w:tc>
        <w:tc>
          <w:tcPr>
            <w:tcW w:w="1152" w:type="dxa"/>
            <w:tcBorders>
              <w:left w:val="nil"/>
              <w:bottom w:val="single" w:sz="12" w:space="0" w:color="000000"/>
              <w:right w:val="nil"/>
            </w:tcBorders>
            <w:tcMar>
              <w:top w:w="80" w:type="dxa"/>
              <w:left w:w="90" w:type="dxa"/>
              <w:bottom w:w="80" w:type="dxa"/>
              <w:right w:w="90" w:type="dxa"/>
            </w:tcMar>
            <w:vAlign w:val="center"/>
          </w:tcPr>
          <w:p w14:paraId="37ECD344" w14:textId="77777777" w:rsidR="004D6C43" w:rsidRDefault="00000000">
            <w:pPr>
              <w:keepLines/>
              <w:spacing w:before="120" w:after="240" w:line="252" w:lineRule="auto"/>
              <w:ind w:firstLine="0"/>
              <w:jc w:val="center"/>
            </w:pPr>
            <w:r>
              <w:rPr>
                <w:rFonts w:eastAsia="Songti SC"/>
                <w:color w:val="000000"/>
              </w:rPr>
              <w:t>9.72</w:t>
            </w:r>
          </w:p>
        </w:tc>
        <w:tc>
          <w:tcPr>
            <w:tcW w:w="1152" w:type="dxa"/>
            <w:tcBorders>
              <w:left w:val="nil"/>
              <w:bottom w:val="single" w:sz="12" w:space="0" w:color="000000"/>
              <w:right w:val="nil"/>
            </w:tcBorders>
            <w:tcMar>
              <w:top w:w="80" w:type="dxa"/>
              <w:left w:w="90" w:type="dxa"/>
              <w:bottom w:w="80" w:type="dxa"/>
              <w:right w:w="90" w:type="dxa"/>
            </w:tcMar>
            <w:vAlign w:val="center"/>
          </w:tcPr>
          <w:p w14:paraId="1371A1F6" w14:textId="77777777" w:rsidR="004D6C43" w:rsidRDefault="00000000">
            <w:pPr>
              <w:keepLines/>
              <w:spacing w:before="120" w:after="240" w:line="252" w:lineRule="auto"/>
              <w:ind w:firstLine="0"/>
              <w:jc w:val="center"/>
            </w:pPr>
            <w:r>
              <w:rPr>
                <w:rFonts w:eastAsia="Songti SC"/>
                <w:color w:val="000000"/>
              </w:rPr>
              <w:t>-3.44</w:t>
            </w:r>
          </w:p>
        </w:tc>
        <w:tc>
          <w:tcPr>
            <w:tcW w:w="1152" w:type="dxa"/>
            <w:tcBorders>
              <w:left w:val="nil"/>
              <w:bottom w:val="single" w:sz="12" w:space="0" w:color="000000"/>
              <w:right w:val="nil"/>
            </w:tcBorders>
            <w:tcMar>
              <w:top w:w="80" w:type="dxa"/>
              <w:left w:w="90" w:type="dxa"/>
              <w:bottom w:w="80" w:type="dxa"/>
              <w:right w:w="90" w:type="dxa"/>
            </w:tcMar>
            <w:vAlign w:val="center"/>
          </w:tcPr>
          <w:p w14:paraId="095F0E12" w14:textId="77777777" w:rsidR="004D6C43" w:rsidRDefault="00000000">
            <w:pPr>
              <w:keepLines/>
              <w:spacing w:before="120" w:after="240" w:line="252" w:lineRule="auto"/>
              <w:ind w:firstLine="0"/>
              <w:jc w:val="center"/>
            </w:pPr>
            <w:r>
              <w:rPr>
                <w:rFonts w:eastAsia="Songti SC"/>
                <w:color w:val="000000"/>
              </w:rPr>
              <w:t>5.14</w:t>
            </w:r>
          </w:p>
        </w:tc>
        <w:tc>
          <w:tcPr>
            <w:tcW w:w="1209" w:type="dxa"/>
            <w:tcBorders>
              <w:left w:val="nil"/>
              <w:bottom w:val="single" w:sz="12" w:space="0" w:color="000000"/>
              <w:right w:val="nil"/>
            </w:tcBorders>
            <w:tcMar>
              <w:top w:w="80" w:type="dxa"/>
              <w:left w:w="90" w:type="dxa"/>
              <w:bottom w:w="80" w:type="dxa"/>
              <w:right w:w="90" w:type="dxa"/>
            </w:tcMar>
            <w:vAlign w:val="center"/>
          </w:tcPr>
          <w:p w14:paraId="1EAB88C1" w14:textId="77777777" w:rsidR="004D6C43" w:rsidRDefault="00000000">
            <w:pPr>
              <w:keepLines/>
              <w:spacing w:before="120" w:after="240" w:line="252" w:lineRule="auto"/>
              <w:ind w:firstLine="0"/>
              <w:jc w:val="center"/>
            </w:pPr>
            <w:r>
              <w:rPr>
                <w:rFonts w:eastAsia="Songti SC"/>
                <w:color w:val="000000"/>
              </w:rPr>
              <w:t>15.27</w:t>
            </w:r>
          </w:p>
        </w:tc>
      </w:tr>
    </w:tbl>
    <w:p w14:paraId="5AC6316D" w14:textId="77777777" w:rsidR="004D6C43" w:rsidRDefault="004D6C43">
      <w:pPr>
        <w:spacing w:before="120" w:after="240"/>
      </w:pPr>
    </w:p>
    <w:p w14:paraId="00630A27" w14:textId="77777777" w:rsidR="004D6C43" w:rsidRDefault="00000000">
      <w:pPr>
        <w:spacing w:before="120" w:after="240"/>
        <w:ind w:left="420" w:right="420" w:firstLine="0"/>
        <w:jc w:val="both"/>
        <w:rPr>
          <w:lang w:eastAsia="zh-CN"/>
        </w:rPr>
      </w:pPr>
      <w:r>
        <w:rPr>
          <w:rFonts w:eastAsia="Songti SC"/>
          <w:color w:val="000000"/>
          <w:sz w:val="18"/>
          <w:lang w:eastAsia="zh-CN"/>
        </w:rPr>
        <w:t>注：表中均为控制账号使用频率后的男性账号减女性账号差异，单位为百分点。个人账号分类依据认证类型；匹配样本包含</w:t>
      </w:r>
      <w:r>
        <w:rPr>
          <w:rFonts w:eastAsia="Songti SC"/>
          <w:color w:val="000000"/>
          <w:sz w:val="18"/>
          <w:lang w:eastAsia="zh-CN"/>
        </w:rPr>
        <w:t>51,815</w:t>
      </w:r>
      <w:r>
        <w:rPr>
          <w:rFonts w:eastAsia="Songti SC"/>
          <w:color w:val="000000"/>
          <w:sz w:val="18"/>
          <w:lang w:eastAsia="zh-CN"/>
        </w:rPr>
        <w:t>个男性账号和</w:t>
      </w:r>
      <w:r>
        <w:rPr>
          <w:rFonts w:eastAsia="Songti SC"/>
          <w:color w:val="000000"/>
          <w:sz w:val="18"/>
          <w:lang w:eastAsia="zh-CN"/>
        </w:rPr>
        <w:t>51,815</w:t>
      </w:r>
      <w:r>
        <w:rPr>
          <w:rFonts w:eastAsia="Songti SC"/>
          <w:color w:val="000000"/>
          <w:sz w:val="18"/>
          <w:lang w:eastAsia="zh-CN"/>
        </w:rPr>
        <w:t>个女性账号。</w:t>
      </w:r>
    </w:p>
    <w:p w14:paraId="72892EB1" w14:textId="77777777" w:rsidR="004D6C43" w:rsidRDefault="00000000">
      <w:pPr>
        <w:keepNext/>
        <w:spacing w:before="120" w:after="240"/>
        <w:jc w:val="center"/>
      </w:pPr>
      <w:r>
        <w:rPr>
          <w:noProof/>
        </w:rPr>
        <w:lastRenderedPageBreak/>
        <w:drawing>
          <wp:inline distT="0" distB="0" distL="0" distR="0" wp14:anchorId="1380D1A8" wp14:editId="4FF7DDEA">
            <wp:extent cx="5623560" cy="3847579"/>
            <wp:effectExtent l="0" t="0" r="0" b="0"/>
            <wp:docPr id="7" name="Picture 7" descr="稳健性图1 个人账号四项核心结果" title="稳健性图1 个人账号四项核心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820_v3_fig1_personal_core.png"/>
                    <pic:cNvPicPr/>
                  </pic:nvPicPr>
                  <pic:blipFill>
                    <a:blip r:embed="rId14"/>
                    <a:stretch>
                      <a:fillRect/>
                    </a:stretch>
                  </pic:blipFill>
                  <pic:spPr>
                    <a:xfrm>
                      <a:off x="0" y="0"/>
                      <a:ext cx="5623560" cy="3847579"/>
                    </a:xfrm>
                    <a:prstGeom prst="rect">
                      <a:avLst/>
                    </a:prstGeom>
                  </pic:spPr>
                </pic:pic>
              </a:graphicData>
            </a:graphic>
          </wp:inline>
        </w:drawing>
      </w:r>
    </w:p>
    <w:p w14:paraId="13D122CF" w14:textId="77777777" w:rsidR="004D6C43" w:rsidRDefault="00000000">
      <w:pPr>
        <w:pStyle w:val="af7"/>
        <w:keepLines/>
        <w:spacing w:before="120" w:after="240"/>
        <w:jc w:val="center"/>
        <w:rPr>
          <w:lang w:eastAsia="zh-CN"/>
        </w:rPr>
      </w:pPr>
      <w:r>
        <w:rPr>
          <w:lang w:eastAsia="zh-CN"/>
        </w:rPr>
        <w:t>稳健性图</w:t>
      </w:r>
      <w:r>
        <w:rPr>
          <w:lang w:eastAsia="zh-CN"/>
        </w:rPr>
        <w:t xml:space="preserve">1 </w:t>
      </w:r>
      <w:r>
        <w:rPr>
          <w:lang w:eastAsia="zh-CN"/>
        </w:rPr>
        <w:t>个人账号四项核心结果</w:t>
      </w:r>
    </w:p>
    <w:p w14:paraId="59310D47" w14:textId="77777777" w:rsidR="004D6C43" w:rsidRDefault="00000000">
      <w:pPr>
        <w:keepNext/>
        <w:spacing w:before="120" w:after="240"/>
        <w:jc w:val="center"/>
      </w:pPr>
      <w:r>
        <w:rPr>
          <w:noProof/>
        </w:rPr>
        <w:drawing>
          <wp:inline distT="0" distB="0" distL="0" distR="0" wp14:anchorId="73094993" wp14:editId="46587800">
            <wp:extent cx="5623560" cy="3106271"/>
            <wp:effectExtent l="0" t="0" r="0" b="0"/>
            <wp:docPr id="8" name="Picture 8" descr="稳健性图2 个人账号的领域距离" title="稳健性图2 个人账号的领域距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820_v3_fig2_personal_domain_gap.png"/>
                    <pic:cNvPicPr/>
                  </pic:nvPicPr>
                  <pic:blipFill>
                    <a:blip r:embed="rId15"/>
                    <a:stretch>
                      <a:fillRect/>
                    </a:stretch>
                  </pic:blipFill>
                  <pic:spPr>
                    <a:xfrm>
                      <a:off x="0" y="0"/>
                      <a:ext cx="5623560" cy="3106271"/>
                    </a:xfrm>
                    <a:prstGeom prst="rect">
                      <a:avLst/>
                    </a:prstGeom>
                  </pic:spPr>
                </pic:pic>
              </a:graphicData>
            </a:graphic>
          </wp:inline>
        </w:drawing>
      </w:r>
    </w:p>
    <w:p w14:paraId="49D751D5" w14:textId="77777777" w:rsidR="004D6C43" w:rsidRDefault="00000000">
      <w:pPr>
        <w:pStyle w:val="af7"/>
        <w:keepLines/>
        <w:spacing w:before="120" w:after="240"/>
        <w:jc w:val="center"/>
        <w:rPr>
          <w:lang w:eastAsia="zh-CN"/>
        </w:rPr>
      </w:pPr>
      <w:r>
        <w:rPr>
          <w:lang w:eastAsia="zh-CN"/>
        </w:rPr>
        <w:t>稳健性图</w:t>
      </w:r>
      <w:r>
        <w:rPr>
          <w:lang w:eastAsia="zh-CN"/>
        </w:rPr>
        <w:t xml:space="preserve">2 </w:t>
      </w:r>
      <w:r>
        <w:rPr>
          <w:lang w:eastAsia="zh-CN"/>
        </w:rPr>
        <w:t>个人账号的领域距离</w:t>
      </w:r>
    </w:p>
    <w:p w14:paraId="646B2794" w14:textId="77777777" w:rsidR="004D6C43" w:rsidRDefault="00000000">
      <w:pPr>
        <w:spacing w:before="120" w:after="240"/>
        <w:jc w:val="both"/>
        <w:rPr>
          <w:lang w:eastAsia="zh-CN"/>
        </w:rPr>
      </w:pPr>
      <w:r>
        <w:rPr>
          <w:rFonts w:eastAsia="Songti SC"/>
          <w:color w:val="000000"/>
          <w:lang w:eastAsia="zh-CN"/>
        </w:rPr>
        <w:t>男女</w:t>
      </w:r>
      <w:r>
        <w:rPr>
          <w:rFonts w:eastAsia="Songti SC"/>
          <w:color w:val="000000"/>
          <w:lang w:eastAsia="zh-CN"/>
        </w:rPr>
        <w:t>1∶1</w:t>
      </w:r>
      <w:r>
        <w:rPr>
          <w:rFonts w:eastAsia="Songti SC"/>
          <w:color w:val="000000"/>
          <w:lang w:eastAsia="zh-CN"/>
        </w:rPr>
        <w:t>匹配后，各匹配变量的标准化均值差绝对值均小于</w:t>
      </w:r>
      <w:r>
        <w:rPr>
          <w:rFonts w:eastAsia="Songti SC"/>
          <w:color w:val="000000"/>
          <w:lang w:eastAsia="zh-CN"/>
        </w:rPr>
        <w:t>0.016</w:t>
      </w:r>
      <w:r>
        <w:rPr>
          <w:rFonts w:eastAsia="Songti SC"/>
          <w:color w:val="000000"/>
          <w:lang w:eastAsia="zh-CN"/>
        </w:rPr>
        <w:t>，样本活动结构接近平衡。匹配结果与全样本方向一致，表明两个领域相反的性别方向在男女等量且活动结构相近的样本中继续存在。</w:t>
      </w:r>
    </w:p>
    <w:p w14:paraId="7DDA3260" w14:textId="77777777" w:rsidR="00C342D4" w:rsidRDefault="00000000">
      <w:pPr>
        <w:spacing w:before="120" w:after="240"/>
        <w:rPr>
          <w:lang w:eastAsia="zh-CN"/>
        </w:rPr>
      </w:pPr>
      <w:r>
        <w:rPr>
          <w:lang w:eastAsia="zh-CN"/>
        </w:rPr>
        <w:lastRenderedPageBreak/>
        <w:t>此外，本文从女性账号中重复</w:t>
      </w:r>
      <w:r>
        <w:rPr>
          <w:lang w:eastAsia="zh-CN"/>
        </w:rPr>
        <w:t>200</w:t>
      </w:r>
      <w:r>
        <w:rPr>
          <w:lang w:eastAsia="zh-CN"/>
        </w:rPr>
        <w:t>次抽取与男性账号等量的样本，四项结果在全部重复抽样中均保持主要模型的方向。排除总体活动量或日均发帖量位于合并样本</w:t>
      </w:r>
      <w:r>
        <w:rPr>
          <w:lang w:eastAsia="zh-CN"/>
        </w:rPr>
        <w:t>99.9%</w:t>
      </w:r>
      <w:r>
        <w:rPr>
          <w:lang w:eastAsia="zh-CN"/>
        </w:rPr>
        <w:t>分位数以上的疑似自动化或营销账号后，四项差异分别为</w:t>
      </w:r>
      <w:r>
        <w:rPr>
          <w:lang w:eastAsia="zh-CN"/>
        </w:rPr>
        <w:t>3.61</w:t>
      </w:r>
      <w:r>
        <w:rPr>
          <w:lang w:eastAsia="zh-CN"/>
        </w:rPr>
        <w:t>、</w:t>
      </w:r>
      <w:r>
        <w:rPr>
          <w:lang w:eastAsia="zh-CN"/>
        </w:rPr>
        <w:t>-1.46</w:t>
      </w:r>
      <w:r>
        <w:rPr>
          <w:lang w:eastAsia="zh-CN"/>
        </w:rPr>
        <w:t>、</w:t>
      </w:r>
      <w:r>
        <w:rPr>
          <w:lang w:eastAsia="zh-CN"/>
        </w:rPr>
        <w:t>9.72</w:t>
      </w:r>
      <w:r>
        <w:rPr>
          <w:lang w:eastAsia="zh-CN"/>
        </w:rPr>
        <w:t>和</w:t>
      </w:r>
      <w:r>
        <w:rPr>
          <w:lang w:eastAsia="zh-CN"/>
        </w:rPr>
        <w:t>-3.44</w:t>
      </w:r>
      <w:r>
        <w:rPr>
          <w:lang w:eastAsia="zh-CN"/>
        </w:rPr>
        <w:t>个百分点，与</w:t>
      </w:r>
      <w:r>
        <w:rPr>
          <w:lang w:eastAsia="zh-CN"/>
        </w:rPr>
        <w:t>M1</w:t>
      </w:r>
      <w:r>
        <w:rPr>
          <w:lang w:eastAsia="zh-CN"/>
        </w:rPr>
        <w:t>结果接近。</w:t>
      </w:r>
    </w:p>
    <w:p w14:paraId="36CB965F" w14:textId="77777777" w:rsidR="004D6C43" w:rsidRDefault="00000000">
      <w:pPr>
        <w:pStyle w:val="21"/>
        <w:spacing w:before="120" w:after="240"/>
        <w:rPr>
          <w:lang w:eastAsia="zh-CN"/>
        </w:rPr>
      </w:pPr>
      <w:r>
        <w:rPr>
          <w:rFonts w:ascii="Times New Roman" w:eastAsia="Heiti SC" w:hAnsi="Times New Roman"/>
          <w:lang w:eastAsia="zh-CN"/>
        </w:rPr>
        <w:t>（二）极端值处理</w:t>
      </w:r>
    </w:p>
    <w:p w14:paraId="3B5479FA" w14:textId="77777777" w:rsidR="004D6C43" w:rsidRDefault="00000000">
      <w:pPr>
        <w:spacing w:before="120" w:after="240"/>
        <w:jc w:val="both"/>
        <w:rPr>
          <w:lang w:eastAsia="zh-CN"/>
        </w:rPr>
      </w:pPr>
      <w:r>
        <w:rPr>
          <w:rFonts w:eastAsia="Songti SC"/>
          <w:color w:val="000000"/>
          <w:lang w:eastAsia="zh-CN"/>
        </w:rPr>
        <w:t>账号活动量呈现明显长尾。本文首先分别在合并样本的</w:t>
      </w:r>
      <w:r>
        <w:rPr>
          <w:rFonts w:eastAsia="Songti SC"/>
          <w:color w:val="000000"/>
          <w:lang w:eastAsia="zh-CN"/>
        </w:rPr>
        <w:t>95%</w:t>
      </w:r>
      <w:r>
        <w:rPr>
          <w:rFonts w:eastAsia="Songti SC"/>
          <w:color w:val="000000"/>
          <w:lang w:eastAsia="zh-CN"/>
        </w:rPr>
        <w:t>和</w:t>
      </w:r>
      <w:r>
        <w:rPr>
          <w:rFonts w:eastAsia="Songti SC"/>
          <w:color w:val="000000"/>
          <w:lang w:eastAsia="zh-CN"/>
        </w:rPr>
        <w:t>99%</w:t>
      </w:r>
      <w:r>
        <w:rPr>
          <w:rFonts w:eastAsia="Songti SC"/>
          <w:color w:val="000000"/>
          <w:lang w:eastAsia="zh-CN"/>
        </w:rPr>
        <w:t>分位数对发帖数、转发数、活跃天数和活跃月份进行上尾缩尾处理；随后按发帖数与转发数之和，分别删除活动量最高的</w:t>
      </w:r>
      <w:r>
        <w:rPr>
          <w:rFonts w:eastAsia="Songti SC"/>
          <w:color w:val="000000"/>
          <w:lang w:eastAsia="zh-CN"/>
        </w:rPr>
        <w:t>1%</w:t>
      </w:r>
      <w:r>
        <w:rPr>
          <w:rFonts w:eastAsia="Songti SC"/>
          <w:color w:val="000000"/>
          <w:lang w:eastAsia="zh-CN"/>
        </w:rPr>
        <w:t>和</w:t>
      </w:r>
      <w:r>
        <w:rPr>
          <w:rFonts w:eastAsia="Songti SC"/>
          <w:color w:val="000000"/>
          <w:lang w:eastAsia="zh-CN"/>
        </w:rPr>
        <w:t>5%</w:t>
      </w:r>
      <w:r>
        <w:rPr>
          <w:rFonts w:eastAsia="Songti SC"/>
          <w:color w:val="000000"/>
          <w:lang w:eastAsia="zh-CN"/>
        </w:rPr>
        <w:t>账号。四种处理下，公共事务信息消费的性别差异介于</w:t>
      </w:r>
      <w:r>
        <w:rPr>
          <w:rFonts w:eastAsia="Songti SC"/>
          <w:color w:val="000000"/>
          <w:lang w:eastAsia="zh-CN"/>
        </w:rPr>
        <w:t>3.25</w:t>
      </w:r>
      <w:r>
        <w:rPr>
          <w:rFonts w:eastAsia="Songti SC"/>
          <w:color w:val="000000"/>
          <w:lang w:eastAsia="zh-CN"/>
        </w:rPr>
        <w:t>至</w:t>
      </w:r>
      <w:r>
        <w:rPr>
          <w:rFonts w:eastAsia="Songti SC"/>
          <w:color w:val="000000"/>
          <w:lang w:eastAsia="zh-CN"/>
        </w:rPr>
        <w:t>3.63</w:t>
      </w:r>
      <w:r>
        <w:rPr>
          <w:rFonts w:eastAsia="Songti SC"/>
          <w:color w:val="000000"/>
          <w:lang w:eastAsia="zh-CN"/>
        </w:rPr>
        <w:t>个百分点，明星文化信息消费介于</w:t>
      </w:r>
      <w:r>
        <w:rPr>
          <w:rFonts w:eastAsia="Songti SC"/>
          <w:color w:val="000000"/>
          <w:lang w:eastAsia="zh-CN"/>
        </w:rPr>
        <w:t>-1.50</w:t>
      </w:r>
      <w:r>
        <w:rPr>
          <w:rFonts w:eastAsia="Songti SC"/>
          <w:color w:val="000000"/>
          <w:lang w:eastAsia="zh-CN"/>
        </w:rPr>
        <w:t>至</w:t>
      </w:r>
      <w:r>
        <w:rPr>
          <w:rFonts w:eastAsia="Songti SC"/>
          <w:color w:val="000000"/>
          <w:lang w:eastAsia="zh-CN"/>
        </w:rPr>
        <w:t>-1.07</w:t>
      </w:r>
      <w:r>
        <w:rPr>
          <w:rFonts w:eastAsia="Songti SC"/>
          <w:color w:val="000000"/>
          <w:lang w:eastAsia="zh-CN"/>
        </w:rPr>
        <w:t>个百分点，公共事务内容表达介于</w:t>
      </w:r>
      <w:r>
        <w:rPr>
          <w:rFonts w:eastAsia="Songti SC"/>
          <w:color w:val="000000"/>
          <w:lang w:eastAsia="zh-CN"/>
        </w:rPr>
        <w:t>9.56</w:t>
      </w:r>
      <w:r>
        <w:rPr>
          <w:rFonts w:eastAsia="Songti SC"/>
          <w:color w:val="000000"/>
          <w:lang w:eastAsia="zh-CN"/>
        </w:rPr>
        <w:t>至</w:t>
      </w:r>
      <w:r>
        <w:rPr>
          <w:rFonts w:eastAsia="Songti SC"/>
          <w:color w:val="000000"/>
          <w:lang w:eastAsia="zh-CN"/>
        </w:rPr>
        <w:t>9.85</w:t>
      </w:r>
      <w:r>
        <w:rPr>
          <w:rFonts w:eastAsia="Songti SC"/>
          <w:color w:val="000000"/>
          <w:lang w:eastAsia="zh-CN"/>
        </w:rPr>
        <w:t>个百分点，明星文化内容表达介于</w:t>
      </w:r>
      <w:r>
        <w:rPr>
          <w:rFonts w:eastAsia="Songti SC"/>
          <w:color w:val="000000"/>
          <w:lang w:eastAsia="zh-CN"/>
        </w:rPr>
        <w:t>-3.46</w:t>
      </w:r>
      <w:r>
        <w:rPr>
          <w:rFonts w:eastAsia="Songti SC"/>
          <w:color w:val="000000"/>
          <w:lang w:eastAsia="zh-CN"/>
        </w:rPr>
        <w:t>至</w:t>
      </w:r>
      <w:r>
        <w:rPr>
          <w:rFonts w:eastAsia="Songti SC"/>
          <w:color w:val="000000"/>
          <w:lang w:eastAsia="zh-CN"/>
        </w:rPr>
        <w:t>-3.17</w:t>
      </w:r>
      <w:r>
        <w:rPr>
          <w:rFonts w:eastAsia="Songti SC"/>
          <w:color w:val="000000"/>
          <w:lang w:eastAsia="zh-CN"/>
        </w:rPr>
        <w:t>个百分点。极端活跃账号会改变估计幅度，两个领域的性别方向保持一致。</w:t>
      </w:r>
    </w:p>
    <w:p w14:paraId="32D83FE4" w14:textId="77777777" w:rsidR="004D6C43" w:rsidRDefault="00000000">
      <w:pPr>
        <w:pStyle w:val="21"/>
        <w:spacing w:before="120" w:after="240"/>
        <w:rPr>
          <w:lang w:eastAsia="zh-CN"/>
        </w:rPr>
      </w:pPr>
      <w:r>
        <w:rPr>
          <w:rFonts w:ascii="Times New Roman" w:eastAsia="Heiti SC" w:hAnsi="Times New Roman"/>
          <w:lang w:eastAsia="zh-CN"/>
        </w:rPr>
        <w:t>（三）观察时间检验</w:t>
      </w:r>
    </w:p>
    <w:p w14:paraId="2D17E007" w14:textId="77777777" w:rsidR="004D6C43" w:rsidRDefault="00000000">
      <w:pPr>
        <w:spacing w:before="120" w:after="240"/>
        <w:jc w:val="both"/>
        <w:rPr>
          <w:lang w:eastAsia="zh-CN"/>
        </w:rPr>
      </w:pPr>
      <w:r>
        <w:rPr>
          <w:rFonts w:eastAsia="Songti SC"/>
          <w:color w:val="000000"/>
          <w:lang w:eastAsia="zh-CN"/>
        </w:rPr>
        <w:t>观察时间检验分别使用上半年和下半年数据重建指标，根据预设的月度活动量规则排除</w:t>
      </w:r>
      <w:r>
        <w:rPr>
          <w:rFonts w:eastAsia="Songti SC"/>
          <w:color w:val="000000"/>
          <w:lang w:eastAsia="zh-CN"/>
        </w:rPr>
        <w:t>9</w:t>
      </w:r>
      <w:r>
        <w:rPr>
          <w:rFonts w:eastAsia="Songti SC"/>
          <w:color w:val="000000"/>
          <w:lang w:eastAsia="zh-CN"/>
        </w:rPr>
        <w:t>月，并将样本限制为至少活跃</w:t>
      </w:r>
      <w:r>
        <w:rPr>
          <w:rFonts w:eastAsia="Songti SC"/>
          <w:color w:val="000000"/>
          <w:lang w:eastAsia="zh-CN"/>
        </w:rPr>
        <w:t>3</w:t>
      </w:r>
      <w:r>
        <w:rPr>
          <w:rFonts w:eastAsia="Songti SC"/>
          <w:color w:val="000000"/>
          <w:lang w:eastAsia="zh-CN"/>
        </w:rPr>
        <w:t>个月或</w:t>
      </w:r>
      <w:r>
        <w:rPr>
          <w:rFonts w:eastAsia="Songti SC"/>
          <w:color w:val="000000"/>
          <w:lang w:eastAsia="zh-CN"/>
        </w:rPr>
        <w:t>6</w:t>
      </w:r>
      <w:r>
        <w:rPr>
          <w:rFonts w:eastAsia="Songti SC"/>
          <w:color w:val="000000"/>
          <w:lang w:eastAsia="zh-CN"/>
        </w:rPr>
        <w:t>个月的账号。在这些设定下，公共事务信息消费的性别差异介于</w:t>
      </w:r>
      <w:r>
        <w:rPr>
          <w:rFonts w:eastAsia="Songti SC"/>
          <w:color w:val="000000"/>
          <w:lang w:eastAsia="zh-CN"/>
        </w:rPr>
        <w:t>2.33</w:t>
      </w:r>
      <w:r>
        <w:rPr>
          <w:rFonts w:eastAsia="Songti SC"/>
          <w:color w:val="000000"/>
          <w:lang w:eastAsia="zh-CN"/>
        </w:rPr>
        <w:t>至</w:t>
      </w:r>
      <w:r>
        <w:rPr>
          <w:rFonts w:eastAsia="Songti SC"/>
          <w:color w:val="000000"/>
          <w:lang w:eastAsia="zh-CN"/>
        </w:rPr>
        <w:t>3.84</w:t>
      </w:r>
      <w:r>
        <w:rPr>
          <w:rFonts w:eastAsia="Songti SC"/>
          <w:color w:val="000000"/>
          <w:lang w:eastAsia="zh-CN"/>
        </w:rPr>
        <w:t>个百分点，明星文化信息消费介于</w:t>
      </w:r>
      <w:r>
        <w:rPr>
          <w:rFonts w:eastAsia="Songti SC"/>
          <w:color w:val="000000"/>
          <w:lang w:eastAsia="zh-CN"/>
        </w:rPr>
        <w:t>-1.66</w:t>
      </w:r>
      <w:r>
        <w:rPr>
          <w:rFonts w:eastAsia="Songti SC"/>
          <w:color w:val="000000"/>
          <w:lang w:eastAsia="zh-CN"/>
        </w:rPr>
        <w:t>至</w:t>
      </w:r>
      <w:r>
        <w:rPr>
          <w:rFonts w:eastAsia="Songti SC"/>
          <w:color w:val="000000"/>
          <w:lang w:eastAsia="zh-CN"/>
        </w:rPr>
        <w:t>-0.98</w:t>
      </w:r>
      <w:r>
        <w:rPr>
          <w:rFonts w:eastAsia="Songti SC"/>
          <w:color w:val="000000"/>
          <w:lang w:eastAsia="zh-CN"/>
        </w:rPr>
        <w:t>个百分点，公共事务内容表达介于</w:t>
      </w:r>
      <w:r>
        <w:rPr>
          <w:rFonts w:eastAsia="Songti SC"/>
          <w:color w:val="000000"/>
          <w:lang w:eastAsia="zh-CN"/>
        </w:rPr>
        <w:t>9.71</w:t>
      </w:r>
      <w:r>
        <w:rPr>
          <w:rFonts w:eastAsia="Songti SC"/>
          <w:color w:val="000000"/>
          <w:lang w:eastAsia="zh-CN"/>
        </w:rPr>
        <w:t>至</w:t>
      </w:r>
      <w:r>
        <w:rPr>
          <w:rFonts w:eastAsia="Songti SC"/>
          <w:color w:val="000000"/>
          <w:lang w:eastAsia="zh-CN"/>
        </w:rPr>
        <w:t>10.17</w:t>
      </w:r>
      <w:r>
        <w:rPr>
          <w:rFonts w:eastAsia="Songti SC"/>
          <w:color w:val="000000"/>
          <w:lang w:eastAsia="zh-CN"/>
        </w:rPr>
        <w:t>个百分点，明星文化内容表达介于</w:t>
      </w:r>
      <w:r>
        <w:rPr>
          <w:rFonts w:eastAsia="Songti SC"/>
          <w:color w:val="000000"/>
          <w:lang w:eastAsia="zh-CN"/>
        </w:rPr>
        <w:t>-3.65</w:t>
      </w:r>
      <w:r>
        <w:rPr>
          <w:rFonts w:eastAsia="Songti SC"/>
          <w:color w:val="000000"/>
          <w:lang w:eastAsia="zh-CN"/>
        </w:rPr>
        <w:t>至</w:t>
      </w:r>
      <w:r>
        <w:rPr>
          <w:rFonts w:eastAsia="Songti SC"/>
          <w:color w:val="000000"/>
          <w:lang w:eastAsia="zh-CN"/>
        </w:rPr>
        <w:t>-3.42</w:t>
      </w:r>
      <w:r>
        <w:rPr>
          <w:rFonts w:eastAsia="Songti SC"/>
          <w:color w:val="000000"/>
          <w:lang w:eastAsia="zh-CN"/>
        </w:rPr>
        <w:t>个百分点。逐月排除检验同样显示，公共事务信息消费始终为男性账号更高，明星文化信息消费始终为女性账号更高。</w:t>
      </w:r>
    </w:p>
    <w:p w14:paraId="07FA29FD" w14:textId="77777777" w:rsidR="004D6C43" w:rsidRDefault="00000000">
      <w:pPr>
        <w:pStyle w:val="21"/>
        <w:spacing w:before="120" w:after="240"/>
        <w:rPr>
          <w:lang w:eastAsia="zh-CN"/>
        </w:rPr>
      </w:pPr>
      <w:r>
        <w:rPr>
          <w:rFonts w:ascii="Times New Roman" w:eastAsia="Heiti SC" w:hAnsi="Times New Roman"/>
          <w:lang w:eastAsia="zh-CN"/>
        </w:rPr>
        <w:t>（四）信息消费测量</w:t>
      </w:r>
    </w:p>
    <w:p w14:paraId="2329804A" w14:textId="77777777" w:rsidR="004D6C43" w:rsidRDefault="00000000">
      <w:pPr>
        <w:spacing w:before="120" w:after="240"/>
        <w:jc w:val="both"/>
        <w:rPr>
          <w:lang w:eastAsia="zh-CN"/>
        </w:rPr>
      </w:pPr>
      <w:r>
        <w:rPr>
          <w:rFonts w:eastAsia="Songti SC"/>
          <w:color w:val="000000"/>
          <w:lang w:eastAsia="zh-CN"/>
        </w:rPr>
        <w:t>信息消费的主要指标以全体同性别账号为分母。将样本改为观察期内至少发生过一次转发的账号后，公共事务与明星文化信息消费的性别差异分别为</w:t>
      </w:r>
      <w:r>
        <w:rPr>
          <w:rFonts w:eastAsia="Songti SC"/>
          <w:color w:val="000000"/>
          <w:lang w:eastAsia="zh-CN"/>
        </w:rPr>
        <w:t>3.74</w:t>
      </w:r>
      <w:r>
        <w:rPr>
          <w:rFonts w:eastAsia="Songti SC"/>
          <w:color w:val="000000"/>
          <w:lang w:eastAsia="zh-CN"/>
        </w:rPr>
        <w:t>和</w:t>
      </w:r>
      <w:r>
        <w:rPr>
          <w:rFonts w:eastAsia="Songti SC"/>
          <w:color w:val="000000"/>
          <w:lang w:eastAsia="zh-CN"/>
        </w:rPr>
        <w:t>-1.57</w:t>
      </w:r>
      <w:r>
        <w:rPr>
          <w:rFonts w:eastAsia="Songti SC"/>
          <w:color w:val="000000"/>
          <w:lang w:eastAsia="zh-CN"/>
        </w:rPr>
        <w:t>个百分点，与</w:t>
      </w:r>
      <w:r>
        <w:rPr>
          <w:rFonts w:eastAsia="Songti SC"/>
          <w:color w:val="000000"/>
          <w:lang w:eastAsia="zh-CN"/>
        </w:rPr>
        <w:t>M1</w:t>
      </w:r>
      <w:r>
        <w:rPr>
          <w:rFonts w:eastAsia="Songti SC"/>
          <w:color w:val="000000"/>
          <w:lang w:eastAsia="zh-CN"/>
        </w:rPr>
        <w:t>的</w:t>
      </w:r>
      <w:r>
        <w:rPr>
          <w:rFonts w:eastAsia="Songti SC"/>
          <w:color w:val="000000"/>
          <w:lang w:eastAsia="zh-CN"/>
        </w:rPr>
        <w:t>3.59</w:t>
      </w:r>
      <w:r>
        <w:rPr>
          <w:rFonts w:eastAsia="Songti SC"/>
          <w:color w:val="000000"/>
          <w:lang w:eastAsia="zh-CN"/>
        </w:rPr>
        <w:t>和</w:t>
      </w:r>
      <w:r>
        <w:rPr>
          <w:rFonts w:eastAsia="Songti SC"/>
          <w:color w:val="000000"/>
          <w:lang w:eastAsia="zh-CN"/>
        </w:rPr>
        <w:t>-1.50</w:t>
      </w:r>
      <w:r>
        <w:rPr>
          <w:rFonts w:eastAsia="Songti SC"/>
          <w:color w:val="000000"/>
          <w:lang w:eastAsia="zh-CN"/>
        </w:rPr>
        <w:t>个百分点接近。</w:t>
      </w:r>
    </w:p>
    <w:p w14:paraId="0A2B6543" w14:textId="77777777" w:rsidR="004D6C43" w:rsidRDefault="00000000">
      <w:pPr>
        <w:pStyle w:val="21"/>
        <w:spacing w:before="120" w:after="240"/>
        <w:rPr>
          <w:lang w:eastAsia="zh-CN"/>
        </w:rPr>
      </w:pPr>
      <w:r>
        <w:rPr>
          <w:rFonts w:ascii="Times New Roman" w:eastAsia="Heiti SC" w:hAnsi="Times New Roman"/>
          <w:lang w:eastAsia="zh-CN"/>
        </w:rPr>
        <w:t>（五）内容表达测量</w:t>
      </w:r>
    </w:p>
    <w:p w14:paraId="3DD86EAB" w14:textId="77777777" w:rsidR="00C342D4" w:rsidRDefault="00000000">
      <w:pPr>
        <w:spacing w:before="120" w:after="240"/>
        <w:rPr>
          <w:lang w:eastAsia="zh-CN"/>
        </w:rPr>
      </w:pPr>
      <w:r>
        <w:rPr>
          <w:lang w:eastAsia="zh-CN"/>
        </w:rPr>
        <w:t>内容表达检验从分母、计量单位和帖子类型三个方面重新构造指标。将分母改为全部帖子，或分别使用命中字符占有效字符的比例、词条命中次数占有效字符的比例，两类领域仍呈现公共事务中男性账号更高、明星文化中女性账号更高的方向。仅使用原创文字帖时，两项差异分别为</w:t>
      </w:r>
      <w:r>
        <w:rPr>
          <w:lang w:eastAsia="zh-CN"/>
        </w:rPr>
        <w:t>11.05</w:t>
      </w:r>
      <w:r>
        <w:rPr>
          <w:lang w:eastAsia="zh-CN"/>
        </w:rPr>
        <w:t>和</w:t>
      </w:r>
      <w:r>
        <w:rPr>
          <w:lang w:eastAsia="zh-CN"/>
        </w:rPr>
        <w:t>-4.85</w:t>
      </w:r>
      <w:r>
        <w:rPr>
          <w:lang w:eastAsia="zh-CN"/>
        </w:rPr>
        <w:t>个百分点；纳入所有含文字的帖子时，两项差异分别为</w:t>
      </w:r>
      <w:r>
        <w:rPr>
          <w:lang w:eastAsia="zh-CN"/>
        </w:rPr>
        <w:t>7.35</w:t>
      </w:r>
      <w:r>
        <w:rPr>
          <w:lang w:eastAsia="zh-CN"/>
        </w:rPr>
        <w:t>和</w:t>
      </w:r>
      <w:r>
        <w:rPr>
          <w:lang w:eastAsia="zh-CN"/>
        </w:rPr>
        <w:t>-2.93</w:t>
      </w:r>
      <w:r>
        <w:rPr>
          <w:lang w:eastAsia="zh-CN"/>
        </w:rPr>
        <w:t>个百分点。仅使用没有新增文字的纯转发帖时，两项差异均接近零，表明性别化的内容差异集中于账号实际写下的文字。不同测量口径的完整结果见附录图</w:t>
      </w:r>
      <w:r>
        <w:rPr>
          <w:lang w:eastAsia="zh-CN"/>
        </w:rPr>
        <w:t>R1</w:t>
      </w:r>
      <w:r>
        <w:rPr>
          <w:lang w:eastAsia="zh-CN"/>
        </w:rPr>
        <w:t>至</w:t>
      </w:r>
      <w:r>
        <w:rPr>
          <w:lang w:eastAsia="zh-CN"/>
        </w:rPr>
        <w:t>R3</w:t>
      </w:r>
      <w:r>
        <w:rPr>
          <w:lang w:eastAsia="zh-CN"/>
        </w:rPr>
        <w:t>。</w:t>
      </w:r>
    </w:p>
    <w:p w14:paraId="331A59DB" w14:textId="77777777" w:rsidR="00C342D4" w:rsidRDefault="00000000">
      <w:pPr>
        <w:pStyle w:val="21"/>
        <w:spacing w:before="120" w:after="240"/>
        <w:rPr>
          <w:lang w:eastAsia="zh-CN"/>
        </w:rPr>
      </w:pPr>
      <w:r>
        <w:rPr>
          <w:rFonts w:ascii="Times New Roman" w:eastAsia="Heiti SC" w:hAnsi="Times New Roman"/>
          <w:lang w:eastAsia="zh-CN"/>
        </w:rPr>
        <w:t>（六）来源账号检验</w:t>
      </w:r>
    </w:p>
    <w:p w14:paraId="14F60831" w14:textId="77777777" w:rsidR="00C342D4" w:rsidRDefault="00000000">
      <w:pPr>
        <w:spacing w:before="120" w:after="240"/>
        <w:rPr>
          <w:lang w:eastAsia="zh-CN"/>
        </w:rPr>
      </w:pPr>
      <w:r>
        <w:rPr>
          <w:lang w:eastAsia="zh-CN"/>
        </w:rPr>
        <w:t>信息消费指标所使用的公共事务来源高度集中。在</w:t>
      </w:r>
      <w:r>
        <w:rPr>
          <w:lang w:eastAsia="zh-CN"/>
        </w:rPr>
        <w:t>47</w:t>
      </w:r>
      <w:r>
        <w:rPr>
          <w:lang w:eastAsia="zh-CN"/>
        </w:rPr>
        <w:t>个活跃公共事务来源中，第一大来源贡献全部相关转发的</w:t>
      </w:r>
      <w:r>
        <w:rPr>
          <w:lang w:eastAsia="zh-CN"/>
        </w:rPr>
        <w:t>33.1%</w:t>
      </w:r>
      <w:r>
        <w:rPr>
          <w:lang w:eastAsia="zh-CN"/>
        </w:rPr>
        <w:t>，前</w:t>
      </w:r>
      <w:r>
        <w:rPr>
          <w:lang w:eastAsia="zh-CN"/>
        </w:rPr>
        <w:t>5</w:t>
      </w:r>
      <w:r>
        <w:rPr>
          <w:lang w:eastAsia="zh-CN"/>
        </w:rPr>
        <w:t>个贡献</w:t>
      </w:r>
      <w:r>
        <w:rPr>
          <w:lang w:eastAsia="zh-CN"/>
        </w:rPr>
        <w:t>88.4%</w:t>
      </w:r>
      <w:r>
        <w:rPr>
          <w:lang w:eastAsia="zh-CN"/>
        </w:rPr>
        <w:t>，前</w:t>
      </w:r>
      <w:r>
        <w:rPr>
          <w:lang w:eastAsia="zh-CN"/>
        </w:rPr>
        <w:t>10</w:t>
      </w:r>
      <w:r>
        <w:rPr>
          <w:lang w:eastAsia="zh-CN"/>
        </w:rPr>
        <w:t>个贡献</w:t>
      </w:r>
      <w:r>
        <w:rPr>
          <w:lang w:eastAsia="zh-CN"/>
        </w:rPr>
        <w:t>97.6%</w:t>
      </w:r>
      <w:r>
        <w:rPr>
          <w:lang w:eastAsia="zh-CN"/>
        </w:rPr>
        <w:t>；明星文化的</w:t>
      </w:r>
      <w:r>
        <w:rPr>
          <w:lang w:eastAsia="zh-CN"/>
        </w:rPr>
        <w:t>216</w:t>
      </w:r>
      <w:r>
        <w:rPr>
          <w:lang w:eastAsia="zh-CN"/>
        </w:rPr>
        <w:t>个活跃来源相对分散，第一大来源、前</w:t>
      </w:r>
      <w:r>
        <w:rPr>
          <w:lang w:eastAsia="zh-CN"/>
        </w:rPr>
        <w:t>5</w:t>
      </w:r>
      <w:r>
        <w:rPr>
          <w:lang w:eastAsia="zh-CN"/>
        </w:rPr>
        <w:t>个和前</w:t>
      </w:r>
      <w:r>
        <w:rPr>
          <w:lang w:eastAsia="zh-CN"/>
        </w:rPr>
        <w:t>10</w:t>
      </w:r>
      <w:r>
        <w:rPr>
          <w:lang w:eastAsia="zh-CN"/>
        </w:rPr>
        <w:t>个分别贡献</w:t>
      </w:r>
      <w:r>
        <w:rPr>
          <w:lang w:eastAsia="zh-CN"/>
        </w:rPr>
        <w:t>15.7%</w:t>
      </w:r>
      <w:r>
        <w:rPr>
          <w:lang w:eastAsia="zh-CN"/>
        </w:rPr>
        <w:t>、</w:t>
      </w:r>
      <w:r>
        <w:rPr>
          <w:lang w:eastAsia="zh-CN"/>
        </w:rPr>
        <w:t>47.5%</w:t>
      </w:r>
      <w:r>
        <w:rPr>
          <w:lang w:eastAsia="zh-CN"/>
        </w:rPr>
        <w:t>和</w:t>
      </w:r>
      <w:r>
        <w:rPr>
          <w:lang w:eastAsia="zh-CN"/>
        </w:rPr>
        <w:t>66.2%</w:t>
      </w:r>
      <w:r>
        <w:rPr>
          <w:lang w:eastAsia="zh-CN"/>
        </w:rPr>
        <w:t>。来源账号检验包括逐一删除每个活跃来源、依次排除转发贡献最高的</w:t>
      </w:r>
      <w:r>
        <w:rPr>
          <w:lang w:eastAsia="zh-CN"/>
        </w:rPr>
        <w:t>1</w:t>
      </w:r>
      <w:r>
        <w:rPr>
          <w:lang w:eastAsia="zh-CN"/>
        </w:rPr>
        <w:t>个、</w:t>
      </w:r>
      <w:r>
        <w:rPr>
          <w:lang w:eastAsia="zh-CN"/>
        </w:rPr>
        <w:t>5</w:t>
      </w:r>
      <w:r>
        <w:rPr>
          <w:lang w:eastAsia="zh-CN"/>
        </w:rPr>
        <w:t>个和</w:t>
      </w:r>
      <w:r>
        <w:rPr>
          <w:lang w:eastAsia="zh-CN"/>
        </w:rPr>
        <w:t>10</w:t>
      </w:r>
      <w:r>
        <w:rPr>
          <w:lang w:eastAsia="zh-CN"/>
        </w:rPr>
        <w:t>个来源、只保留核心全国性媒体、按演艺身份关键词逐类删除明星账号，以及对来源集合进行</w:t>
      </w:r>
      <w:r>
        <w:rPr>
          <w:lang w:eastAsia="zh-CN"/>
        </w:rPr>
        <w:t>200</w:t>
      </w:r>
      <w:r>
        <w:rPr>
          <w:lang w:eastAsia="zh-CN"/>
        </w:rPr>
        <w:t>次重抽样。所有确定性删减设定均保持</w:t>
      </w:r>
      <w:r>
        <w:rPr>
          <w:lang w:eastAsia="zh-CN"/>
        </w:rPr>
        <w:t>M1</w:t>
      </w:r>
      <w:r>
        <w:rPr>
          <w:lang w:eastAsia="zh-CN"/>
        </w:rPr>
        <w:t>的领域方向；</w:t>
      </w:r>
      <w:r>
        <w:rPr>
          <w:lang w:eastAsia="zh-CN"/>
        </w:rPr>
        <w:t>200</w:t>
      </w:r>
      <w:r>
        <w:rPr>
          <w:lang w:eastAsia="zh-CN"/>
        </w:rPr>
        <w:t>次来源重抽样中，公共事务信息消费全部保持男性账号更高，明星文化信息消费有</w:t>
      </w:r>
      <w:r>
        <w:rPr>
          <w:lang w:eastAsia="zh-CN"/>
        </w:rPr>
        <w:t>198</w:t>
      </w:r>
      <w:r>
        <w:rPr>
          <w:lang w:eastAsia="zh-CN"/>
        </w:rPr>
        <w:t>次保持女性账号更高。来源构成会影响差异幅度，但相反的领域方向在绝大多数来源组合中继续出现。详细分布见附录图</w:t>
      </w:r>
      <w:r>
        <w:rPr>
          <w:lang w:eastAsia="zh-CN"/>
        </w:rPr>
        <w:t>R6</w:t>
      </w:r>
      <w:r>
        <w:rPr>
          <w:lang w:eastAsia="zh-CN"/>
        </w:rPr>
        <w:t>。</w:t>
      </w:r>
    </w:p>
    <w:p w14:paraId="3DA50D47" w14:textId="77777777" w:rsidR="00C342D4" w:rsidRDefault="00000000">
      <w:pPr>
        <w:pStyle w:val="21"/>
        <w:spacing w:before="120" w:after="240"/>
        <w:rPr>
          <w:lang w:eastAsia="zh-CN"/>
        </w:rPr>
      </w:pPr>
      <w:r>
        <w:rPr>
          <w:rFonts w:ascii="Times New Roman" w:eastAsia="Heiti SC" w:hAnsi="Times New Roman"/>
          <w:lang w:eastAsia="zh-CN"/>
        </w:rPr>
        <w:lastRenderedPageBreak/>
        <w:t>（七）内容词表检验</w:t>
      </w:r>
    </w:p>
    <w:p w14:paraId="7FFB2F96" w14:textId="77777777" w:rsidR="00C342D4" w:rsidRDefault="00000000">
      <w:pPr>
        <w:spacing w:before="120" w:after="240"/>
        <w:rPr>
          <w:lang w:eastAsia="zh-CN"/>
        </w:rPr>
      </w:pPr>
      <w:r>
        <w:rPr>
          <w:lang w:eastAsia="zh-CN"/>
        </w:rPr>
        <w:t>词表检验每次随机保留</w:t>
      </w:r>
      <w:r>
        <w:rPr>
          <w:lang w:eastAsia="zh-CN"/>
        </w:rPr>
        <w:t>80%</w:t>
      </w:r>
      <w:r>
        <w:rPr>
          <w:lang w:eastAsia="zh-CN"/>
        </w:rPr>
        <w:t>的公共事务词条和明星姓名，重复</w:t>
      </w:r>
      <w:r>
        <w:rPr>
          <w:lang w:eastAsia="zh-CN"/>
        </w:rPr>
        <w:t>200</w:t>
      </w:r>
      <w:r>
        <w:rPr>
          <w:lang w:eastAsia="zh-CN"/>
        </w:rPr>
        <w:t>次，并分别检验删除嵌套词条和删除少于</w:t>
      </w:r>
      <w:r>
        <w:rPr>
          <w:lang w:eastAsia="zh-CN"/>
        </w:rPr>
        <w:t>3</w:t>
      </w:r>
      <w:r>
        <w:rPr>
          <w:lang w:eastAsia="zh-CN"/>
        </w:rPr>
        <w:t>个字的短词条。全部词表设定都保持公共事务内容中的男性优势和明星文化内容中的女性优势。附录图</w:t>
      </w:r>
      <w:r>
        <w:rPr>
          <w:lang w:eastAsia="zh-CN"/>
        </w:rPr>
        <w:t>R5</w:t>
      </w:r>
      <w:r>
        <w:rPr>
          <w:lang w:eastAsia="zh-CN"/>
        </w:rPr>
        <w:t>显示，词表重抽样会改变估计幅度，主要方向由较广泛的词条集合共同形成。</w:t>
      </w:r>
    </w:p>
    <w:p w14:paraId="625D82AE" w14:textId="77777777" w:rsidR="00C342D4" w:rsidRDefault="00000000">
      <w:pPr>
        <w:pStyle w:val="21"/>
        <w:spacing w:before="120" w:after="240"/>
        <w:rPr>
          <w:lang w:eastAsia="zh-CN"/>
        </w:rPr>
      </w:pPr>
      <w:r>
        <w:rPr>
          <w:rFonts w:ascii="Times New Roman" w:eastAsia="Heiti SC" w:hAnsi="Times New Roman"/>
          <w:lang w:eastAsia="zh-CN"/>
        </w:rPr>
        <w:t>（八）多重检验校正</w:t>
      </w:r>
    </w:p>
    <w:p w14:paraId="386B2A59" w14:textId="77777777" w:rsidR="00C342D4" w:rsidRDefault="00000000">
      <w:pPr>
        <w:spacing w:before="120" w:after="240"/>
        <w:rPr>
          <w:lang w:eastAsia="zh-CN"/>
        </w:rPr>
      </w:pPr>
      <w:r>
        <w:rPr>
          <w:lang w:eastAsia="zh-CN"/>
        </w:rPr>
        <w:t>对次级分析进行</w:t>
      </w:r>
      <w:r>
        <w:rPr>
          <w:lang w:eastAsia="zh-CN"/>
        </w:rPr>
        <w:t>Benjamini-Hochberg</w:t>
      </w:r>
      <w:r>
        <w:rPr>
          <w:lang w:eastAsia="zh-CN"/>
        </w:rPr>
        <w:t>错误发现率校正后，主要结果及大多数次级结果仍达到</w:t>
      </w:r>
      <w:r>
        <w:rPr>
          <w:lang w:eastAsia="zh-CN"/>
        </w:rPr>
        <w:t>0.05</w:t>
      </w:r>
      <w:r>
        <w:rPr>
          <w:lang w:eastAsia="zh-CN"/>
        </w:rPr>
        <w:t>标准。多重检验校正没有改变两个领域中性别差异的基本方向，相关结果见附录图</w:t>
      </w:r>
      <w:r>
        <w:rPr>
          <w:lang w:eastAsia="zh-CN"/>
        </w:rPr>
        <w:t>R7</w:t>
      </w:r>
      <w:r>
        <w:rPr>
          <w:lang w:eastAsia="zh-CN"/>
        </w:rPr>
        <w:t>。</w:t>
      </w:r>
    </w:p>
    <w:p w14:paraId="024469B5" w14:textId="77777777" w:rsidR="004D6C43" w:rsidRDefault="00000000">
      <w:pPr>
        <w:pStyle w:val="1"/>
        <w:spacing w:before="120" w:after="240"/>
        <w:rPr>
          <w:lang w:eastAsia="zh-CN"/>
        </w:rPr>
      </w:pPr>
      <w:r>
        <w:rPr>
          <w:rFonts w:ascii="Times New Roman" w:eastAsia="Heiti SC" w:hAnsi="Times New Roman"/>
          <w:lang w:eastAsia="zh-CN"/>
        </w:rPr>
        <w:t>六、讨论</w:t>
      </w:r>
    </w:p>
    <w:p w14:paraId="15980246" w14:textId="77777777" w:rsidR="004D6C43" w:rsidRDefault="00000000">
      <w:pPr>
        <w:pStyle w:val="21"/>
        <w:spacing w:before="120" w:after="240"/>
        <w:rPr>
          <w:lang w:eastAsia="zh-CN"/>
        </w:rPr>
      </w:pPr>
      <w:r>
        <w:rPr>
          <w:rFonts w:ascii="Times New Roman" w:eastAsia="Heiti SC" w:hAnsi="Times New Roman"/>
          <w:lang w:eastAsia="zh-CN"/>
        </w:rPr>
        <w:t>（一）性别差异体现为信息领域参与结构</w:t>
      </w:r>
    </w:p>
    <w:p w14:paraId="039BEFC8" w14:textId="77777777" w:rsidR="004D6C43" w:rsidRDefault="00000000">
      <w:pPr>
        <w:spacing w:before="120" w:after="240"/>
        <w:jc w:val="both"/>
        <w:rPr>
          <w:lang w:eastAsia="zh-CN"/>
        </w:rPr>
      </w:pPr>
      <w:r>
        <w:rPr>
          <w:rFonts w:eastAsia="Songti SC"/>
          <w:color w:val="000000"/>
          <w:lang w:eastAsia="zh-CN"/>
        </w:rPr>
        <w:t>本文最稳定的发现是两个领域呈现相反方向。男性账号相对更多参与公共事务领域的信息消费和内容表达，女性账号相对更多参与明星文化领域的两种活动。男女账号都在平台上留下大量行为痕迹，差异集中于这些行为被配置到哪些信息对象和议题。性别差异因此需要结合具体信息领域加以理解。</w:t>
      </w:r>
    </w:p>
    <w:p w14:paraId="104A868E" w14:textId="77777777" w:rsidR="004D6C43" w:rsidRDefault="00000000">
      <w:pPr>
        <w:spacing w:before="120" w:after="240"/>
        <w:jc w:val="both"/>
        <w:rPr>
          <w:lang w:eastAsia="zh-CN"/>
        </w:rPr>
      </w:pPr>
      <w:r>
        <w:rPr>
          <w:rFonts w:eastAsia="Songti SC"/>
          <w:color w:val="000000"/>
          <w:lang w:eastAsia="zh-CN"/>
        </w:rPr>
        <w:t>这一发现扩展了政治兴趣性别差距研究。一般政治兴趣指标经常以国家政治和制度议题为中心，具体议题测量能够显著改变性别差距（</w:t>
      </w:r>
      <w:r>
        <w:rPr>
          <w:rFonts w:eastAsia="Songti SC"/>
          <w:color w:val="000000"/>
          <w:lang w:eastAsia="zh-CN"/>
        </w:rPr>
        <w:t>Coffé</w:t>
      </w:r>
      <w:r>
        <w:rPr>
          <w:rFonts w:eastAsia="Songti SC"/>
          <w:color w:val="000000"/>
          <w:lang w:eastAsia="zh-CN"/>
        </w:rPr>
        <w:t>，</w:t>
      </w:r>
      <w:r>
        <w:rPr>
          <w:rFonts w:eastAsia="Songti SC"/>
          <w:color w:val="000000"/>
          <w:lang w:eastAsia="zh-CN"/>
        </w:rPr>
        <w:t>2013</w:t>
      </w:r>
      <w:r>
        <w:rPr>
          <w:rFonts w:eastAsia="Songti SC"/>
          <w:color w:val="000000"/>
          <w:lang w:eastAsia="zh-CN"/>
        </w:rPr>
        <w:t>；</w:t>
      </w:r>
      <w:r>
        <w:rPr>
          <w:rFonts w:eastAsia="Songti SC"/>
          <w:color w:val="000000"/>
          <w:lang w:eastAsia="zh-CN"/>
        </w:rPr>
        <w:t>Ferrín</w:t>
      </w:r>
      <w:r>
        <w:rPr>
          <w:rFonts w:eastAsia="Songti SC"/>
          <w:color w:val="000000"/>
          <w:lang w:eastAsia="zh-CN"/>
        </w:rPr>
        <w:t>等，</w:t>
      </w:r>
      <w:r>
        <w:rPr>
          <w:rFonts w:eastAsia="Songti SC"/>
          <w:color w:val="000000"/>
          <w:lang w:eastAsia="zh-CN"/>
        </w:rPr>
        <w:t>2020</w:t>
      </w:r>
      <w:r>
        <w:rPr>
          <w:rFonts w:eastAsia="Songti SC"/>
          <w:color w:val="000000"/>
          <w:lang w:eastAsia="zh-CN"/>
        </w:rPr>
        <w:t>）。数字痕迹研究也面临相同问题：研究者选择制度化来源、公共词条或明星姓名，决定哪些行为进入</w:t>
      </w:r>
      <w:r>
        <w:rPr>
          <w:rFonts w:eastAsia="Songti SC"/>
          <w:color w:val="000000"/>
          <w:lang w:eastAsia="zh-CN"/>
        </w:rPr>
        <w:t>“</w:t>
      </w:r>
      <w:r>
        <w:rPr>
          <w:rFonts w:eastAsia="Songti SC"/>
          <w:color w:val="000000"/>
          <w:lang w:eastAsia="zh-CN"/>
        </w:rPr>
        <w:t>参与</w:t>
      </w:r>
      <w:r>
        <w:rPr>
          <w:rFonts w:eastAsia="Songti SC"/>
          <w:color w:val="000000"/>
          <w:lang w:eastAsia="zh-CN"/>
        </w:rPr>
        <w:t>”</w:t>
      </w:r>
      <w:r>
        <w:rPr>
          <w:rFonts w:eastAsia="Songti SC"/>
          <w:color w:val="000000"/>
          <w:lang w:eastAsia="zh-CN"/>
        </w:rPr>
        <w:t>的统计范围。本文通过对称比较两个领域，使测量选择及其后果变得可见。</w:t>
      </w:r>
    </w:p>
    <w:p w14:paraId="1618A039" w14:textId="77777777" w:rsidR="004D6C43" w:rsidRDefault="00000000">
      <w:pPr>
        <w:pStyle w:val="21"/>
        <w:spacing w:before="120" w:after="240"/>
        <w:rPr>
          <w:lang w:eastAsia="zh-CN"/>
        </w:rPr>
      </w:pPr>
      <w:r>
        <w:rPr>
          <w:rFonts w:ascii="Times New Roman" w:eastAsia="Heiti SC" w:hAnsi="Times New Roman"/>
          <w:lang w:eastAsia="zh-CN"/>
        </w:rPr>
        <w:t>（二）两种参与方式揭示不同结构</w:t>
      </w:r>
    </w:p>
    <w:p w14:paraId="49C76BBF" w14:textId="77777777" w:rsidR="004D6C43" w:rsidRDefault="00000000">
      <w:pPr>
        <w:spacing w:before="120" w:after="240"/>
        <w:jc w:val="both"/>
        <w:rPr>
          <w:lang w:eastAsia="zh-CN"/>
        </w:rPr>
      </w:pPr>
      <w:r>
        <w:rPr>
          <w:rFonts w:eastAsia="Songti SC"/>
          <w:color w:val="000000"/>
          <w:lang w:eastAsia="zh-CN"/>
        </w:rPr>
        <w:t>信息消费记录账号与特定来源之间的传播联系，内容表达呈现账号全年公开文字中的议题配置。前者对应来源进入和传播路径，后者对应公开谈论的内容。两个领域相反的性别方向同时出现在这两种参与方式中，说明信息领域参与既体现为转发哪些来源，也体现为表达哪些议题。</w:t>
      </w:r>
    </w:p>
    <w:p w14:paraId="027D4B58" w14:textId="77777777" w:rsidR="004D6C43" w:rsidRDefault="00000000">
      <w:pPr>
        <w:spacing w:before="120" w:after="240"/>
        <w:jc w:val="both"/>
        <w:rPr>
          <w:lang w:eastAsia="zh-CN"/>
        </w:rPr>
      </w:pPr>
      <w:r>
        <w:rPr>
          <w:rFonts w:eastAsia="Songti SC"/>
          <w:color w:val="000000"/>
          <w:lang w:eastAsia="zh-CN"/>
        </w:rPr>
        <w:t>来源转发占比与内容比例进一步显示了两种参与方式的结构差异。男性账号更可能至少转发一次公共事务来源，而官方媒体转发占全部转发的比例只存在较小的性别差异；女性账号更可能进入明星文化信息消费，演艺来源占全部转发的比例则较为接近。最低参与门槛、行为强度和议题配置共同构成社交媒体信息参与的不同层面。</w:t>
      </w:r>
    </w:p>
    <w:p w14:paraId="1BC010FD" w14:textId="77777777" w:rsidR="004D6C43" w:rsidRDefault="00000000">
      <w:pPr>
        <w:pStyle w:val="21"/>
        <w:spacing w:before="120" w:after="240"/>
        <w:rPr>
          <w:lang w:eastAsia="zh-CN"/>
        </w:rPr>
      </w:pPr>
      <w:r>
        <w:rPr>
          <w:rFonts w:ascii="Times New Roman" w:eastAsia="Heiti SC" w:hAnsi="Times New Roman"/>
          <w:lang w:eastAsia="zh-CN"/>
        </w:rPr>
        <w:t>（三）明星文化与账号构成塑造平台图景</w:t>
      </w:r>
    </w:p>
    <w:p w14:paraId="32587F39" w14:textId="77777777" w:rsidR="004D6C43" w:rsidRDefault="00000000">
      <w:pPr>
        <w:spacing w:before="120" w:after="240"/>
        <w:jc w:val="both"/>
        <w:rPr>
          <w:lang w:eastAsia="zh-CN"/>
        </w:rPr>
      </w:pPr>
      <w:r>
        <w:rPr>
          <w:rFonts w:eastAsia="Songti SC"/>
          <w:color w:val="000000"/>
          <w:lang w:eastAsia="zh-CN"/>
        </w:rPr>
        <w:t>女性账号参与明星文化信息消费的概率更高，明星文化内容的比例也更高。微博明星文化嵌入偶像生产、粉丝社群、商业推广、榜单机制和算法可见度，转发与内容生产可能成为关系劳动和数据劳动。明星文化由此构成具有独立组织形式和参与价值的信息领域，为理解社交媒体中的性别化信息参与提供了公共事务之外的另一条路径。</w:t>
      </w:r>
    </w:p>
    <w:p w14:paraId="081578DD" w14:textId="77777777" w:rsidR="004D6C43" w:rsidRDefault="00000000">
      <w:pPr>
        <w:spacing w:before="120" w:after="240"/>
        <w:jc w:val="both"/>
        <w:rPr>
          <w:lang w:eastAsia="zh-CN"/>
        </w:rPr>
      </w:pPr>
      <w:r>
        <w:rPr>
          <w:rFonts w:eastAsia="Songti SC"/>
          <w:color w:val="000000"/>
          <w:lang w:eastAsia="zh-CN"/>
        </w:rPr>
        <w:lastRenderedPageBreak/>
        <w:t>个人账号稳健性分析显示，排除机构账号后公共事务差异明显缩小。机构账号在男性账号中的比例更高，并承担较多组织化公共信息生产与传播。全账号结果呈现平台账号生态共同形成的可见结构，个人账号结果呈现个人使用者更集中的行为结构。两种口径共同说明账号构成如何塑造平台中的性别差异。</w:t>
      </w:r>
    </w:p>
    <w:p w14:paraId="3ACA70E1" w14:textId="77777777" w:rsidR="004D6C43" w:rsidRDefault="00000000">
      <w:pPr>
        <w:pStyle w:val="21"/>
        <w:spacing w:before="120" w:after="240"/>
        <w:rPr>
          <w:lang w:eastAsia="zh-CN"/>
        </w:rPr>
      </w:pPr>
      <w:r>
        <w:rPr>
          <w:rFonts w:ascii="Times New Roman" w:eastAsia="Heiti SC" w:hAnsi="Times New Roman"/>
          <w:lang w:eastAsia="zh-CN"/>
        </w:rPr>
        <w:t>（四）研究边界与结论</w:t>
      </w:r>
    </w:p>
    <w:p w14:paraId="0359433B" w14:textId="77777777" w:rsidR="004D6C43" w:rsidRDefault="00000000">
      <w:pPr>
        <w:spacing w:before="120" w:after="240"/>
        <w:jc w:val="both"/>
        <w:rPr>
          <w:lang w:eastAsia="zh-CN"/>
        </w:rPr>
      </w:pPr>
      <w:r>
        <w:rPr>
          <w:rFonts w:eastAsia="Songti SC"/>
          <w:color w:val="000000"/>
          <w:lang w:eastAsia="zh-CN"/>
        </w:rPr>
        <w:t>第一，本研究样本由每日随机关键词采集的文本数据与</w:t>
      </w:r>
      <w:r>
        <w:rPr>
          <w:rFonts w:eastAsia="Songti SC"/>
          <w:color w:val="000000"/>
          <w:lang w:eastAsia="zh-CN"/>
        </w:rPr>
        <w:t>Weibo-COV</w:t>
      </w:r>
      <w:r>
        <w:rPr>
          <w:rFonts w:eastAsia="Songti SC"/>
          <w:color w:val="000000"/>
          <w:lang w:eastAsia="zh-CN"/>
        </w:rPr>
        <w:t>账号资料匹配形成，研究对象是完成匹配的</w:t>
      </w:r>
      <w:r>
        <w:rPr>
          <w:rFonts w:eastAsia="Songti SC"/>
          <w:color w:val="000000"/>
          <w:lang w:eastAsia="zh-CN"/>
        </w:rPr>
        <w:t>225,339</w:t>
      </w:r>
      <w:r>
        <w:rPr>
          <w:rFonts w:eastAsia="Songti SC"/>
          <w:color w:val="000000"/>
          <w:lang w:eastAsia="zh-CN"/>
        </w:rPr>
        <w:t>个微博账号。全账号样本同时包含个人账号与机构账号，个人账号分析进一步呈现以个人使用者为主体的结果。</w:t>
      </w:r>
    </w:p>
    <w:p w14:paraId="1274D998" w14:textId="77777777" w:rsidR="004D6C43" w:rsidRDefault="00000000">
      <w:pPr>
        <w:spacing w:before="120" w:after="240"/>
        <w:jc w:val="both"/>
        <w:rPr>
          <w:lang w:eastAsia="zh-CN"/>
        </w:rPr>
      </w:pPr>
      <w:r>
        <w:rPr>
          <w:rFonts w:eastAsia="Songti SC"/>
          <w:color w:val="000000"/>
          <w:lang w:eastAsia="zh-CN"/>
        </w:rPr>
        <w:t>第二，公共事务信息消费由</w:t>
      </w:r>
      <w:r>
        <w:rPr>
          <w:rFonts w:eastAsia="Songti SC"/>
          <w:color w:val="000000"/>
          <w:lang w:eastAsia="zh-CN"/>
        </w:rPr>
        <w:t>47</w:t>
      </w:r>
      <w:r>
        <w:rPr>
          <w:rFonts w:eastAsia="Songti SC"/>
          <w:color w:val="000000"/>
          <w:lang w:eastAsia="zh-CN"/>
        </w:rPr>
        <w:t>个制度化来源账号界定，明星文化信息消费由</w:t>
      </w:r>
      <w:r>
        <w:rPr>
          <w:rFonts w:eastAsia="Songti SC"/>
          <w:color w:val="000000"/>
          <w:lang w:eastAsia="zh-CN"/>
        </w:rPr>
        <w:t>216</w:t>
      </w:r>
      <w:r>
        <w:rPr>
          <w:rFonts w:eastAsia="Songti SC"/>
          <w:color w:val="000000"/>
          <w:lang w:eastAsia="zh-CN"/>
        </w:rPr>
        <w:t>个演艺认证账号界定；内容表达则由公共事务词表和明星姓名词表界定。来源删减和词表重抽样检验了这些测量集合的稳定性，后续研究可通过扩展来源范围和分层人工编码继续完善领域测量。</w:t>
      </w:r>
    </w:p>
    <w:p w14:paraId="27CC67AC" w14:textId="77777777" w:rsidR="004D6C43" w:rsidRDefault="00000000">
      <w:pPr>
        <w:spacing w:before="120" w:after="240"/>
        <w:jc w:val="both"/>
        <w:rPr>
          <w:lang w:eastAsia="zh-CN"/>
        </w:rPr>
      </w:pPr>
      <w:r>
        <w:rPr>
          <w:rFonts w:eastAsia="Songti SC"/>
          <w:color w:val="000000"/>
          <w:lang w:eastAsia="zh-CN"/>
        </w:rPr>
        <w:t>第三，本文采用观察性账号数据，模型通过控制发帖量、转发量和活跃时间比较平台使用程度相近的账号，所得结果呈现账号层面的统计关联。观察期覆盖</w:t>
      </w:r>
      <w:r>
        <w:rPr>
          <w:rFonts w:eastAsia="Songti SC"/>
          <w:color w:val="000000"/>
          <w:lang w:eastAsia="zh-CN"/>
        </w:rPr>
        <w:t>2020</w:t>
      </w:r>
      <w:r>
        <w:rPr>
          <w:rFonts w:eastAsia="Songti SC"/>
          <w:color w:val="000000"/>
          <w:lang w:eastAsia="zh-CN"/>
        </w:rPr>
        <w:t>年</w:t>
      </w:r>
      <w:r>
        <w:rPr>
          <w:rFonts w:eastAsia="Songti SC"/>
          <w:color w:val="000000"/>
          <w:lang w:eastAsia="zh-CN"/>
        </w:rPr>
        <w:t>1-9</w:t>
      </w:r>
      <w:r>
        <w:rPr>
          <w:rFonts w:eastAsia="Songti SC"/>
          <w:color w:val="000000"/>
          <w:lang w:eastAsia="zh-CN"/>
        </w:rPr>
        <w:t>月和</w:t>
      </w:r>
      <w:r>
        <w:rPr>
          <w:rFonts w:eastAsia="Songti SC"/>
          <w:color w:val="000000"/>
          <w:lang w:eastAsia="zh-CN"/>
        </w:rPr>
        <w:t>11-12</w:t>
      </w:r>
      <w:r>
        <w:rPr>
          <w:rFonts w:eastAsia="Songti SC"/>
          <w:color w:val="000000"/>
          <w:lang w:eastAsia="zh-CN"/>
        </w:rPr>
        <w:t>月，转发延迟依据已发生的转发事件计算。未来研究可结合信息曝光数据、问卷、访谈或实验设计，进一步分析兴趣、社群规范和算法推荐等作用机制。</w:t>
      </w:r>
    </w:p>
    <w:p w14:paraId="67B207F3" w14:textId="77777777" w:rsidR="004D6C43" w:rsidRDefault="004D6C43">
      <w:pPr>
        <w:spacing w:before="120" w:after="240"/>
        <w:rPr>
          <w:lang w:eastAsia="zh-CN"/>
        </w:rPr>
      </w:pPr>
    </w:p>
    <w:p w14:paraId="33E7E6A5" w14:textId="77777777" w:rsidR="004D6C43" w:rsidRDefault="00000000">
      <w:pPr>
        <w:spacing w:before="120" w:after="240"/>
        <w:jc w:val="both"/>
        <w:rPr>
          <w:lang w:eastAsia="zh-CN"/>
        </w:rPr>
      </w:pPr>
      <w:r>
        <w:rPr>
          <w:rFonts w:eastAsia="Songti SC"/>
          <w:color w:val="000000"/>
          <w:lang w:eastAsia="zh-CN"/>
        </w:rPr>
        <w:t>本文从两个信息领域和两种参与方式考察网络普及之后的数字性别差异。公共事务领域与明星文化领域呈现方向相反的性别差异：在平台使用程度相近的账号中，男性账号相对更多参与公共事务领域，女性账号相对更多参与明星文化领域。上述方向同时出现在信息消费和内容表达中，构成稳定的信息领域参与结构。</w:t>
      </w:r>
    </w:p>
    <w:p w14:paraId="62881AF6" w14:textId="77777777" w:rsidR="004D6C43" w:rsidRDefault="00000000">
      <w:pPr>
        <w:spacing w:before="120" w:after="240"/>
        <w:jc w:val="both"/>
        <w:rPr>
          <w:lang w:eastAsia="zh-CN"/>
        </w:rPr>
      </w:pPr>
      <w:r>
        <w:rPr>
          <w:rFonts w:eastAsia="Songti SC"/>
          <w:color w:val="000000"/>
          <w:lang w:eastAsia="zh-CN"/>
        </w:rPr>
        <w:t>稳健性分析在个人账号、男女平衡样本、极端值处理、月份限制、来源删减和词表重抽样等设定下得到一致的领域方向。效应幅度随账号构成和测量规则变化，其中排除机构账号后公共事务差异明显缩小。研究对象、参与领域、参与方式和测量规则共同塑造了数字平台中可见的性别差异。</w:t>
      </w:r>
    </w:p>
    <w:p w14:paraId="1A7F3319" w14:textId="77777777" w:rsidR="004D6C43" w:rsidRDefault="00000000">
      <w:pPr>
        <w:spacing w:before="120" w:after="240"/>
        <w:rPr>
          <w:lang w:eastAsia="zh-CN"/>
        </w:rPr>
      </w:pPr>
      <w:r>
        <w:rPr>
          <w:lang w:eastAsia="zh-CN"/>
        </w:rPr>
        <w:br w:type="page"/>
      </w:r>
    </w:p>
    <w:p w14:paraId="1CD816DB" w14:textId="77777777" w:rsidR="004D6C43" w:rsidRDefault="00000000">
      <w:pPr>
        <w:pStyle w:val="1"/>
        <w:spacing w:before="120" w:after="240"/>
      </w:pPr>
      <w:r>
        <w:rPr>
          <w:rFonts w:ascii="Times New Roman" w:eastAsia="Heiti SC" w:hAnsi="Times New Roman"/>
        </w:rPr>
        <w:lastRenderedPageBreak/>
        <w:t>参考文献</w:t>
      </w:r>
    </w:p>
    <w:p w14:paraId="28F1A20E" w14:textId="77777777" w:rsidR="004D6C43" w:rsidRDefault="00000000">
      <w:pPr>
        <w:spacing w:before="120" w:after="240" w:line="276" w:lineRule="auto"/>
        <w:ind w:left="420" w:hanging="420"/>
        <w:jc w:val="both"/>
      </w:pPr>
      <w:r>
        <w:rPr>
          <w:rFonts w:eastAsia="Songti SC"/>
          <w:color w:val="000000"/>
          <w:sz w:val="19"/>
        </w:rPr>
        <w:t xml:space="preserve">Benesch, Christine. 2012. “An Empirical Analysis of the Gender Gap in News Consumption.” </w:t>
      </w:r>
      <w:r>
        <w:rPr>
          <w:rFonts w:eastAsia="Songti SC"/>
          <w:i/>
          <w:color w:val="000000"/>
          <w:sz w:val="19"/>
        </w:rPr>
        <w:t>Journal of Media Economics</w:t>
      </w:r>
      <w:r>
        <w:rPr>
          <w:rFonts w:eastAsia="Songti SC"/>
          <w:color w:val="000000"/>
          <w:sz w:val="19"/>
        </w:rPr>
        <w:t xml:space="preserve"> 25(3): 147-167.</w:t>
      </w:r>
    </w:p>
    <w:p w14:paraId="58E2CC66" w14:textId="77777777" w:rsidR="004D6C43" w:rsidRDefault="00000000">
      <w:pPr>
        <w:spacing w:before="120" w:after="240" w:line="276" w:lineRule="auto"/>
        <w:ind w:left="420" w:hanging="420"/>
        <w:jc w:val="both"/>
      </w:pPr>
      <w:r>
        <w:rPr>
          <w:rFonts w:eastAsia="Songti SC"/>
          <w:color w:val="000000"/>
          <w:sz w:val="19"/>
        </w:rPr>
        <w:t xml:space="preserve">Bennett, Linda L. M., and Stephen Earl Bennett. 1989. “Enduring Gender Differences in Political Interest: The Impact of Socialization and Political Dispositions.” </w:t>
      </w:r>
      <w:r>
        <w:rPr>
          <w:rFonts w:eastAsia="Songti SC"/>
          <w:i/>
          <w:color w:val="000000"/>
          <w:sz w:val="19"/>
        </w:rPr>
        <w:t>American Politics Quarterly</w:t>
      </w:r>
      <w:r>
        <w:rPr>
          <w:rFonts w:eastAsia="Songti SC"/>
          <w:color w:val="000000"/>
          <w:sz w:val="19"/>
        </w:rPr>
        <w:t xml:space="preserve"> 17(1): 105-122.</w:t>
      </w:r>
    </w:p>
    <w:p w14:paraId="0FC852AE" w14:textId="77777777" w:rsidR="004D6C43" w:rsidRDefault="00000000">
      <w:pPr>
        <w:spacing w:before="120" w:after="240" w:line="276" w:lineRule="auto"/>
        <w:ind w:left="420" w:hanging="420"/>
        <w:jc w:val="both"/>
      </w:pPr>
      <w:r>
        <w:rPr>
          <w:rFonts w:eastAsia="Songti SC"/>
          <w:color w:val="000000"/>
          <w:sz w:val="19"/>
        </w:rPr>
        <w:t xml:space="preserve">Bimber, Bruce. 2000. “Measuring the Gender Gap on the Internet.” </w:t>
      </w:r>
      <w:r>
        <w:rPr>
          <w:rFonts w:eastAsia="Songti SC"/>
          <w:i/>
          <w:color w:val="000000"/>
          <w:sz w:val="19"/>
        </w:rPr>
        <w:t>Social Science Quarterly</w:t>
      </w:r>
      <w:r>
        <w:rPr>
          <w:rFonts w:eastAsia="Songti SC"/>
          <w:color w:val="000000"/>
          <w:sz w:val="19"/>
        </w:rPr>
        <w:t xml:space="preserve"> 81(3): 868-876.</w:t>
      </w:r>
    </w:p>
    <w:p w14:paraId="131886B9" w14:textId="77777777" w:rsidR="004D6C43" w:rsidRDefault="00000000">
      <w:pPr>
        <w:spacing w:before="120" w:after="240" w:line="276" w:lineRule="auto"/>
        <w:ind w:left="420" w:hanging="420"/>
        <w:jc w:val="both"/>
      </w:pPr>
      <w:r>
        <w:rPr>
          <w:rFonts w:eastAsia="Songti SC"/>
          <w:color w:val="000000"/>
          <w:sz w:val="19"/>
        </w:rPr>
        <w:t xml:space="preserve">Bode, Leticia. 2017. “Closing the Gap: Gender Parity in Political Engagement on Social Media.” </w:t>
      </w:r>
      <w:r>
        <w:rPr>
          <w:rFonts w:eastAsia="Songti SC"/>
          <w:i/>
          <w:color w:val="000000"/>
          <w:sz w:val="19"/>
        </w:rPr>
        <w:t>Information, Communication &amp; Society</w:t>
      </w:r>
      <w:r>
        <w:rPr>
          <w:rFonts w:eastAsia="Songti SC"/>
          <w:color w:val="000000"/>
          <w:sz w:val="19"/>
        </w:rPr>
        <w:t xml:space="preserve"> 20(4): 587-603.</w:t>
      </w:r>
    </w:p>
    <w:p w14:paraId="2EF532D0" w14:textId="77777777" w:rsidR="004D6C43" w:rsidRDefault="00000000">
      <w:pPr>
        <w:spacing w:before="120" w:after="240" w:line="276" w:lineRule="auto"/>
        <w:ind w:left="420" w:hanging="420"/>
        <w:jc w:val="both"/>
      </w:pPr>
      <w:r>
        <w:rPr>
          <w:rFonts w:eastAsia="Songti SC"/>
          <w:color w:val="000000"/>
          <w:sz w:val="19"/>
        </w:rPr>
        <w:t xml:space="preserve">Coffé, Hilde. 2013. “Women Stay Local, Men Go National and Global? Gender Differences in Political Interest.” </w:t>
      </w:r>
      <w:r>
        <w:rPr>
          <w:rFonts w:eastAsia="Songti SC"/>
          <w:i/>
          <w:color w:val="000000"/>
          <w:sz w:val="19"/>
        </w:rPr>
        <w:t>Sex Roles</w:t>
      </w:r>
      <w:r>
        <w:rPr>
          <w:rFonts w:eastAsia="Songti SC"/>
          <w:color w:val="000000"/>
          <w:sz w:val="19"/>
        </w:rPr>
        <w:t xml:space="preserve"> 69(5-6): 323-338.</w:t>
      </w:r>
    </w:p>
    <w:p w14:paraId="0FAB139B" w14:textId="77777777" w:rsidR="004D6C43" w:rsidRDefault="00000000">
      <w:pPr>
        <w:spacing w:before="120" w:after="240" w:line="276" w:lineRule="auto"/>
        <w:ind w:left="420" w:hanging="420"/>
        <w:jc w:val="both"/>
      </w:pPr>
      <w:r>
        <w:rPr>
          <w:rFonts w:eastAsia="Songti SC"/>
          <w:color w:val="000000"/>
          <w:sz w:val="19"/>
        </w:rPr>
        <w:t xml:space="preserve">Couldry, Nick, Sonia Livingstone, and Tim Markham. 2007. </w:t>
      </w:r>
      <w:r>
        <w:rPr>
          <w:rFonts w:eastAsia="Songti SC"/>
          <w:i/>
          <w:color w:val="000000"/>
          <w:sz w:val="19"/>
        </w:rPr>
        <w:t>Media Consumption and Public Engagement: Beyond the Presumption of Attention</w:t>
      </w:r>
      <w:r>
        <w:rPr>
          <w:rFonts w:eastAsia="Songti SC"/>
          <w:color w:val="000000"/>
          <w:sz w:val="19"/>
        </w:rPr>
        <w:t>. Basingstoke: Palgrave Macmillan.</w:t>
      </w:r>
    </w:p>
    <w:p w14:paraId="311BE412" w14:textId="77777777" w:rsidR="004D6C43" w:rsidRDefault="00000000">
      <w:pPr>
        <w:spacing w:before="120" w:after="240" w:line="276" w:lineRule="auto"/>
        <w:ind w:left="420" w:hanging="420"/>
        <w:jc w:val="both"/>
      </w:pPr>
      <w:r>
        <w:rPr>
          <w:rFonts w:eastAsia="Songti SC"/>
          <w:color w:val="000000"/>
          <w:sz w:val="19"/>
        </w:rPr>
        <w:t>DiMaggio, Paul, and Eszter Hargittai. 2001. “From the ‘Digital Divide’ to ‘Digital Inequality’: Studying Internet Use as Penetration Increases.” Working Paper 15, Princeton University Center for Arts and Cultural Policy Studies.</w:t>
      </w:r>
    </w:p>
    <w:p w14:paraId="16095A50" w14:textId="77777777" w:rsidR="004D6C43" w:rsidRDefault="00000000">
      <w:pPr>
        <w:spacing w:before="120" w:after="240" w:line="276" w:lineRule="auto"/>
        <w:ind w:left="420" w:hanging="420"/>
        <w:jc w:val="both"/>
      </w:pPr>
      <w:r>
        <w:rPr>
          <w:rFonts w:eastAsia="Songti SC"/>
          <w:color w:val="000000"/>
          <w:sz w:val="19"/>
        </w:rPr>
        <w:t xml:space="preserve">Ferrín, Mónica, Marta Fraile, Gema M. García-Albacete, and Raul Gómez. 2020. “The Gender Gap in Political Interest Revisited.” </w:t>
      </w:r>
      <w:r>
        <w:rPr>
          <w:rFonts w:eastAsia="Songti SC"/>
          <w:i/>
          <w:color w:val="000000"/>
          <w:sz w:val="19"/>
        </w:rPr>
        <w:t>International Political Science Review</w:t>
      </w:r>
      <w:r>
        <w:rPr>
          <w:rFonts w:eastAsia="Songti SC"/>
          <w:color w:val="000000"/>
          <w:sz w:val="19"/>
        </w:rPr>
        <w:t xml:space="preserve"> 41(4): 473-489.</w:t>
      </w:r>
    </w:p>
    <w:p w14:paraId="7FDA6562" w14:textId="77777777" w:rsidR="004D6C43" w:rsidRDefault="00000000">
      <w:pPr>
        <w:spacing w:before="120" w:after="240" w:line="276" w:lineRule="auto"/>
        <w:ind w:left="420" w:hanging="420"/>
        <w:jc w:val="both"/>
      </w:pPr>
      <w:r>
        <w:rPr>
          <w:rFonts w:eastAsia="Songti SC"/>
          <w:color w:val="000000"/>
          <w:sz w:val="19"/>
        </w:rPr>
        <w:t xml:space="preserve">Fraile, Marta, and Irene Sánchez-Vítores. 2020. “Tracing the Gender Gap in Political Interest Over the Life Span: A Panel Analysis.” </w:t>
      </w:r>
      <w:r>
        <w:rPr>
          <w:rFonts w:eastAsia="Songti SC"/>
          <w:i/>
          <w:color w:val="000000"/>
          <w:sz w:val="19"/>
        </w:rPr>
        <w:t>Political Psychology</w:t>
      </w:r>
      <w:r>
        <w:rPr>
          <w:rFonts w:eastAsia="Songti SC"/>
          <w:color w:val="000000"/>
          <w:sz w:val="19"/>
        </w:rPr>
        <w:t xml:space="preserve"> 41(1): 89-106.</w:t>
      </w:r>
    </w:p>
    <w:p w14:paraId="787054E3" w14:textId="77777777" w:rsidR="004D6C43" w:rsidRDefault="00000000">
      <w:pPr>
        <w:spacing w:before="120" w:after="240" w:line="276" w:lineRule="auto"/>
        <w:ind w:left="420" w:hanging="420"/>
        <w:jc w:val="both"/>
      </w:pPr>
      <w:r>
        <w:rPr>
          <w:rFonts w:eastAsia="Songti SC"/>
          <w:color w:val="000000"/>
          <w:sz w:val="19"/>
        </w:rPr>
        <w:t xml:space="preserve">Hargittai, Eszter. 2002. “Second-Level Digital Divide: Differences in People’s Online Skills.” </w:t>
      </w:r>
      <w:r>
        <w:rPr>
          <w:rFonts w:eastAsia="Songti SC"/>
          <w:i/>
          <w:color w:val="000000"/>
          <w:sz w:val="19"/>
        </w:rPr>
        <w:t>First Monday</w:t>
      </w:r>
      <w:r>
        <w:rPr>
          <w:rFonts w:eastAsia="Songti SC"/>
          <w:color w:val="000000"/>
          <w:sz w:val="19"/>
        </w:rPr>
        <w:t xml:space="preserve"> 7(4).</w:t>
      </w:r>
    </w:p>
    <w:p w14:paraId="08758513" w14:textId="77777777" w:rsidR="004D6C43" w:rsidRDefault="00000000">
      <w:pPr>
        <w:spacing w:before="120" w:after="240" w:line="276" w:lineRule="auto"/>
        <w:ind w:left="420" w:hanging="420"/>
        <w:jc w:val="both"/>
      </w:pPr>
      <w:r>
        <w:rPr>
          <w:rFonts w:eastAsia="Songti SC"/>
          <w:color w:val="000000"/>
          <w:sz w:val="19"/>
        </w:rPr>
        <w:t xml:space="preserve">Hargittai, Eszter, and Steven Shafer. 2006. “Differences in Actual and Perceived Online Skills: The Role of Gender.” </w:t>
      </w:r>
      <w:r>
        <w:rPr>
          <w:rFonts w:eastAsia="Songti SC"/>
          <w:i/>
          <w:color w:val="000000"/>
          <w:sz w:val="19"/>
        </w:rPr>
        <w:t>Social Science Quarterly</w:t>
      </w:r>
      <w:r>
        <w:rPr>
          <w:rFonts w:eastAsia="Songti SC"/>
          <w:color w:val="000000"/>
          <w:sz w:val="19"/>
        </w:rPr>
        <w:t xml:space="preserve"> 87(2): 432-448.</w:t>
      </w:r>
    </w:p>
    <w:p w14:paraId="1F7EE014" w14:textId="77777777" w:rsidR="004D6C43" w:rsidRDefault="00000000">
      <w:pPr>
        <w:spacing w:before="120" w:after="240" w:line="276" w:lineRule="auto"/>
        <w:ind w:left="420" w:hanging="420"/>
        <w:jc w:val="both"/>
      </w:pPr>
      <w:r>
        <w:rPr>
          <w:rFonts w:eastAsia="Songti SC"/>
          <w:color w:val="000000"/>
          <w:sz w:val="19"/>
        </w:rPr>
        <w:t xml:space="preserve">Haugsgjerd, Atle, and Rune Karlsen. 2024. “Election Campaigns, News Consumption Gaps, and Social Media: Equalizing Political News Use When It Matters?” </w:t>
      </w:r>
      <w:r>
        <w:rPr>
          <w:rFonts w:eastAsia="Songti SC"/>
          <w:i/>
          <w:color w:val="000000"/>
          <w:sz w:val="19"/>
        </w:rPr>
        <w:t>The International Journal of Press/Politics</w:t>
      </w:r>
      <w:r>
        <w:rPr>
          <w:rFonts w:eastAsia="Songti SC"/>
          <w:color w:val="000000"/>
          <w:sz w:val="19"/>
        </w:rPr>
        <w:t xml:space="preserve"> 29(2): 507-529.</w:t>
      </w:r>
    </w:p>
    <w:p w14:paraId="61671F41" w14:textId="77777777" w:rsidR="004D6C43" w:rsidRDefault="00000000">
      <w:pPr>
        <w:spacing w:before="120" w:after="240" w:line="276" w:lineRule="auto"/>
        <w:ind w:left="420" w:hanging="420"/>
        <w:jc w:val="both"/>
      </w:pPr>
      <w:r>
        <w:rPr>
          <w:rFonts w:eastAsia="Songti SC"/>
          <w:color w:val="000000"/>
          <w:sz w:val="19"/>
        </w:rPr>
        <w:t xml:space="preserve">He, Qijun, and Yungeng Li. 2023. “Civic Engagement Intention and the Data-Driven Fan Community.” </w:t>
      </w:r>
      <w:r>
        <w:rPr>
          <w:rFonts w:eastAsia="Songti SC"/>
          <w:i/>
          <w:color w:val="000000"/>
          <w:sz w:val="19"/>
        </w:rPr>
        <w:t>Social Media + Society</w:t>
      </w:r>
      <w:r>
        <w:rPr>
          <w:rFonts w:eastAsia="Songti SC"/>
          <w:color w:val="000000"/>
          <w:sz w:val="19"/>
        </w:rPr>
        <w:t xml:space="preserve"> 9(1).</w:t>
      </w:r>
    </w:p>
    <w:p w14:paraId="4C26DF19" w14:textId="77777777" w:rsidR="004D6C43" w:rsidRDefault="00000000">
      <w:pPr>
        <w:spacing w:before="120" w:after="240" w:line="276" w:lineRule="auto"/>
        <w:ind w:left="420" w:hanging="420"/>
        <w:jc w:val="both"/>
      </w:pPr>
      <w:r>
        <w:rPr>
          <w:rFonts w:eastAsia="Songti SC"/>
          <w:color w:val="000000"/>
          <w:sz w:val="19"/>
        </w:rPr>
        <w:t xml:space="preserve">Helsper, Ellen Johanna. 2010. “Gendered Internet Use Across Generations and Life Stages.” </w:t>
      </w:r>
      <w:r>
        <w:rPr>
          <w:rFonts w:eastAsia="Songti SC"/>
          <w:i/>
          <w:color w:val="000000"/>
          <w:sz w:val="19"/>
        </w:rPr>
        <w:t>Communication Research</w:t>
      </w:r>
      <w:r>
        <w:rPr>
          <w:rFonts w:eastAsia="Songti SC"/>
          <w:color w:val="000000"/>
          <w:sz w:val="19"/>
        </w:rPr>
        <w:t xml:space="preserve"> 37(3): 352-374.</w:t>
      </w:r>
    </w:p>
    <w:p w14:paraId="0A499DCC" w14:textId="77777777" w:rsidR="004D6C43" w:rsidRDefault="00000000">
      <w:pPr>
        <w:spacing w:before="120" w:after="240" w:line="276" w:lineRule="auto"/>
        <w:ind w:left="420" w:hanging="420"/>
        <w:jc w:val="both"/>
      </w:pPr>
      <w:r>
        <w:rPr>
          <w:rFonts w:eastAsia="Songti SC"/>
          <w:color w:val="000000"/>
          <w:sz w:val="19"/>
        </w:rPr>
        <w:t xml:space="preserve">Hu, Yong, Heyan Huang, Anfan Chen, and Xian-Ling Mao. 2020. “Weibo-COV: A Large-Scale COVID-19 Social Media Dataset from Weibo.” </w:t>
      </w:r>
      <w:r>
        <w:rPr>
          <w:rFonts w:eastAsia="Songti SC"/>
          <w:i/>
          <w:color w:val="000000"/>
          <w:sz w:val="19"/>
        </w:rPr>
        <w:t>Proceedings of the 1st Workshop on NLP for COVID-19 (Part 2) at EMNLP 2020</w:t>
      </w:r>
      <w:r>
        <w:rPr>
          <w:rFonts w:eastAsia="Songti SC"/>
          <w:color w:val="000000"/>
          <w:sz w:val="19"/>
        </w:rPr>
        <w:t>. https://doi.org/10.18653/v1/2020.nlpcovid19-2.34.</w:t>
      </w:r>
    </w:p>
    <w:p w14:paraId="45375B2C" w14:textId="77777777" w:rsidR="004D6C43" w:rsidRDefault="00000000">
      <w:pPr>
        <w:spacing w:before="120" w:after="240" w:line="276" w:lineRule="auto"/>
        <w:ind w:left="420" w:hanging="420"/>
        <w:jc w:val="both"/>
      </w:pPr>
      <w:r>
        <w:rPr>
          <w:rFonts w:eastAsia="Songti SC"/>
          <w:color w:val="000000"/>
          <w:sz w:val="19"/>
        </w:rPr>
        <w:t xml:space="preserve">Koc-Michalska, Karolina, Anya Schiffrin, Anamaria Lopez, Shelley Boulianne, and Bruce Bimber. 2021. “From Online Political Posting to Mansplaining.” </w:t>
      </w:r>
      <w:r>
        <w:rPr>
          <w:rFonts w:eastAsia="Songti SC"/>
          <w:i/>
          <w:color w:val="000000"/>
          <w:sz w:val="19"/>
        </w:rPr>
        <w:t>Social Science Computer Review</w:t>
      </w:r>
      <w:r>
        <w:rPr>
          <w:rFonts w:eastAsia="Songti SC"/>
          <w:color w:val="000000"/>
          <w:sz w:val="19"/>
        </w:rPr>
        <w:t xml:space="preserve"> 39(2): 197-210.</w:t>
      </w:r>
    </w:p>
    <w:p w14:paraId="77B18C6F" w14:textId="77777777" w:rsidR="004D6C43" w:rsidRDefault="00000000">
      <w:pPr>
        <w:spacing w:before="120" w:after="240" w:line="276" w:lineRule="auto"/>
        <w:ind w:left="420" w:hanging="420"/>
        <w:jc w:val="both"/>
      </w:pPr>
      <w:r>
        <w:rPr>
          <w:rFonts w:eastAsia="Songti SC"/>
          <w:color w:val="000000"/>
          <w:sz w:val="19"/>
        </w:rPr>
        <w:t xml:space="preserve">Lilleker, Darren G., Karolina Koc-Michalska, and Bruce Bimber. 2021. “Women Learn While Men Talk? Revisiting Gender Differences in Political Engagement in Online Environments.” </w:t>
      </w:r>
      <w:r>
        <w:rPr>
          <w:rFonts w:eastAsia="Songti SC"/>
          <w:i/>
          <w:color w:val="000000"/>
          <w:sz w:val="19"/>
        </w:rPr>
        <w:t>Information, Communication &amp; Society</w:t>
      </w:r>
      <w:r>
        <w:rPr>
          <w:rFonts w:eastAsia="Songti SC"/>
          <w:color w:val="000000"/>
          <w:sz w:val="19"/>
        </w:rPr>
        <w:t xml:space="preserve"> 24(14): 2037-2053.</w:t>
      </w:r>
    </w:p>
    <w:p w14:paraId="71657C47" w14:textId="77777777" w:rsidR="004D6C43" w:rsidRDefault="00000000">
      <w:pPr>
        <w:spacing w:before="120" w:after="240" w:line="276" w:lineRule="auto"/>
        <w:ind w:left="420" w:hanging="420"/>
        <w:jc w:val="both"/>
      </w:pPr>
      <w:r>
        <w:rPr>
          <w:rFonts w:eastAsia="Songti SC"/>
          <w:color w:val="000000"/>
          <w:sz w:val="19"/>
        </w:rPr>
        <w:t xml:space="preserve">Prior, Markus. 2005. “News vs. Entertainment: How Increasing Media Choice Widens Gaps in Political Knowledge and Turnout.” </w:t>
      </w:r>
      <w:r>
        <w:rPr>
          <w:rFonts w:eastAsia="Songti SC"/>
          <w:i/>
          <w:color w:val="000000"/>
          <w:sz w:val="19"/>
        </w:rPr>
        <w:t>American Journal of Political Science</w:t>
      </w:r>
      <w:r>
        <w:rPr>
          <w:rFonts w:eastAsia="Songti SC"/>
          <w:color w:val="000000"/>
          <w:sz w:val="19"/>
        </w:rPr>
        <w:t xml:space="preserve"> 49(3): 577-592.</w:t>
      </w:r>
    </w:p>
    <w:p w14:paraId="5D5D96AB" w14:textId="77777777" w:rsidR="004D6C43" w:rsidRDefault="00000000">
      <w:pPr>
        <w:spacing w:before="120" w:after="240" w:line="276" w:lineRule="auto"/>
        <w:ind w:left="420" w:hanging="420"/>
        <w:jc w:val="both"/>
      </w:pPr>
      <w:r>
        <w:rPr>
          <w:rFonts w:eastAsia="Songti SC"/>
          <w:color w:val="000000"/>
          <w:sz w:val="19"/>
        </w:rPr>
        <w:lastRenderedPageBreak/>
        <w:t xml:space="preserve">Scheerder, Anique, Alexander van Deursen, and Jan van Dijk. 2017. “Determinants of Internet Skills, Uses and Outcomes: A Systematic Review of the Second- and Third-Level Digital Divide.” </w:t>
      </w:r>
      <w:r>
        <w:rPr>
          <w:rFonts w:eastAsia="Songti SC"/>
          <w:i/>
          <w:color w:val="000000"/>
          <w:sz w:val="19"/>
        </w:rPr>
        <w:t>Telematics and Informatics</w:t>
      </w:r>
      <w:r>
        <w:rPr>
          <w:rFonts w:eastAsia="Songti SC"/>
          <w:color w:val="000000"/>
          <w:sz w:val="19"/>
        </w:rPr>
        <w:t xml:space="preserve"> 34(8): 1607-1624.</w:t>
      </w:r>
    </w:p>
    <w:p w14:paraId="6A6A0718" w14:textId="77777777" w:rsidR="004D6C43" w:rsidRDefault="00000000">
      <w:pPr>
        <w:spacing w:before="120" w:after="240" w:line="276" w:lineRule="auto"/>
        <w:ind w:left="420" w:hanging="420"/>
        <w:jc w:val="both"/>
      </w:pPr>
      <w:r>
        <w:rPr>
          <w:rFonts w:eastAsia="Songti SC"/>
          <w:color w:val="000000"/>
          <w:sz w:val="19"/>
        </w:rPr>
        <w:t xml:space="preserve">Sen, Indira, Fabian Flöck, Katrin Weller, Bernd Weiß, and Claudia Wagner. 2021. “A Total Error Framework for Digital Traces of Human Behavior on Online Platforms.” </w:t>
      </w:r>
      <w:r>
        <w:rPr>
          <w:rFonts w:eastAsia="Songti SC"/>
          <w:i/>
          <w:color w:val="000000"/>
          <w:sz w:val="19"/>
        </w:rPr>
        <w:t>Public Opinion Quarterly</w:t>
      </w:r>
      <w:r>
        <w:rPr>
          <w:rFonts w:eastAsia="Songti SC"/>
          <w:color w:val="000000"/>
          <w:sz w:val="19"/>
        </w:rPr>
        <w:t xml:space="preserve"> 85(S1): 399-422.</w:t>
      </w:r>
    </w:p>
    <w:p w14:paraId="009F0FEB" w14:textId="77777777" w:rsidR="004D6C43" w:rsidRDefault="00000000">
      <w:pPr>
        <w:spacing w:before="120" w:after="240" w:line="276" w:lineRule="auto"/>
        <w:ind w:left="420" w:hanging="420"/>
        <w:jc w:val="both"/>
      </w:pPr>
      <w:r>
        <w:rPr>
          <w:rFonts w:eastAsia="Songti SC"/>
          <w:color w:val="000000"/>
          <w:sz w:val="19"/>
        </w:rPr>
        <w:t xml:space="preserve">Shah, Dhavan V., Jaeho Cho, William P. Eveland Jr., and Nojin Kwak. 2005. “Information and Expression in a Digital Age: Modeling Internet Effects on Civic Participation.” </w:t>
      </w:r>
      <w:r>
        <w:rPr>
          <w:rFonts w:eastAsia="Songti SC"/>
          <w:i/>
          <w:color w:val="000000"/>
          <w:sz w:val="19"/>
        </w:rPr>
        <w:t>Communication Research</w:t>
      </w:r>
      <w:r>
        <w:rPr>
          <w:rFonts w:eastAsia="Songti SC"/>
          <w:color w:val="000000"/>
          <w:sz w:val="19"/>
        </w:rPr>
        <w:t xml:space="preserve"> 32(5): 531-565.</w:t>
      </w:r>
    </w:p>
    <w:p w14:paraId="713268EF" w14:textId="77777777" w:rsidR="004D6C43" w:rsidRDefault="00000000">
      <w:pPr>
        <w:spacing w:before="120" w:after="240" w:line="276" w:lineRule="auto"/>
        <w:ind w:left="420" w:hanging="420"/>
        <w:jc w:val="both"/>
      </w:pPr>
      <w:r>
        <w:rPr>
          <w:rFonts w:eastAsia="Songti SC"/>
          <w:color w:val="000000"/>
          <w:sz w:val="19"/>
        </w:rPr>
        <w:t xml:space="preserve">Strömbäck, Jesper, Monika Djerf-Pierre, and Adam Shehata. 2013. “The Dynamics of Political Interest and News Media Consumption.” </w:t>
      </w:r>
      <w:r>
        <w:rPr>
          <w:rFonts w:eastAsia="Songti SC"/>
          <w:i/>
          <w:color w:val="000000"/>
          <w:sz w:val="19"/>
        </w:rPr>
        <w:t>International Journal of Public Opinion Research</w:t>
      </w:r>
      <w:r>
        <w:rPr>
          <w:rFonts w:eastAsia="Songti SC"/>
          <w:color w:val="000000"/>
          <w:sz w:val="19"/>
        </w:rPr>
        <w:t xml:space="preserve"> 25(4): 414-435.</w:t>
      </w:r>
    </w:p>
    <w:p w14:paraId="35F08C5E" w14:textId="77777777" w:rsidR="004D6C43" w:rsidRDefault="00000000">
      <w:pPr>
        <w:spacing w:before="120" w:after="240" w:line="276" w:lineRule="auto"/>
        <w:ind w:left="420" w:hanging="420"/>
        <w:jc w:val="both"/>
      </w:pPr>
      <w:r>
        <w:rPr>
          <w:rFonts w:eastAsia="Songti SC"/>
          <w:color w:val="000000"/>
          <w:sz w:val="19"/>
        </w:rPr>
        <w:t xml:space="preserve">Thorson, Kjerstin, Kelley Cotter, Mel Medeiros, and Chankyung Pak. 2021. “Algorithmic Inference, Political Interest, and Exposure to News and Politics on Facebook.” </w:t>
      </w:r>
      <w:r>
        <w:rPr>
          <w:rFonts w:eastAsia="Songti SC"/>
          <w:i/>
          <w:color w:val="000000"/>
          <w:sz w:val="19"/>
        </w:rPr>
        <w:t>Information, Communication &amp; Society</w:t>
      </w:r>
      <w:r>
        <w:rPr>
          <w:rFonts w:eastAsia="Songti SC"/>
          <w:color w:val="000000"/>
          <w:sz w:val="19"/>
        </w:rPr>
        <w:t xml:space="preserve"> 24(2): 183-200.</w:t>
      </w:r>
    </w:p>
    <w:p w14:paraId="6845B49C" w14:textId="77777777" w:rsidR="004D6C43" w:rsidRDefault="00000000">
      <w:pPr>
        <w:spacing w:before="120" w:after="240" w:line="276" w:lineRule="auto"/>
        <w:ind w:left="420" w:hanging="420"/>
        <w:jc w:val="both"/>
      </w:pPr>
      <w:r>
        <w:rPr>
          <w:rFonts w:eastAsia="Songti SC"/>
          <w:color w:val="000000"/>
          <w:sz w:val="19"/>
        </w:rPr>
        <w:t xml:space="preserve">Toff, Benjamin, and Ruth A. Palmer. 2019. “Explaining the Gender Gap in News Avoidance: ‘News-Is-for-Men’ Perceptions and the Burdens of Caretaking.” </w:t>
      </w:r>
      <w:r>
        <w:rPr>
          <w:rFonts w:eastAsia="Songti SC"/>
          <w:i/>
          <w:color w:val="000000"/>
          <w:sz w:val="19"/>
        </w:rPr>
        <w:t>Journalism Studies</w:t>
      </w:r>
      <w:r>
        <w:rPr>
          <w:rFonts w:eastAsia="Songti SC"/>
          <w:color w:val="000000"/>
          <w:sz w:val="19"/>
        </w:rPr>
        <w:t xml:space="preserve"> 20(11): 1563-1579.</w:t>
      </w:r>
    </w:p>
    <w:p w14:paraId="552EA2EE" w14:textId="77777777" w:rsidR="004D6C43" w:rsidRDefault="00000000">
      <w:pPr>
        <w:spacing w:before="120" w:after="240" w:line="276" w:lineRule="auto"/>
        <w:ind w:left="420" w:hanging="420"/>
        <w:jc w:val="both"/>
      </w:pPr>
      <w:r>
        <w:rPr>
          <w:rFonts w:eastAsia="Songti SC"/>
          <w:color w:val="000000"/>
          <w:sz w:val="19"/>
        </w:rPr>
        <w:t xml:space="preserve">van Deursen, Alexander J. A. M., and Jan A. G. M. van Dijk. 2014. “The Digital Divide Shifts to Differences in Usage.” </w:t>
      </w:r>
      <w:r>
        <w:rPr>
          <w:rFonts w:eastAsia="Songti SC"/>
          <w:i/>
          <w:color w:val="000000"/>
          <w:sz w:val="19"/>
        </w:rPr>
        <w:t>New Media &amp; Society</w:t>
      </w:r>
      <w:r>
        <w:rPr>
          <w:rFonts w:eastAsia="Songti SC"/>
          <w:color w:val="000000"/>
          <w:sz w:val="19"/>
        </w:rPr>
        <w:t xml:space="preserve"> 16(3): 507-526.</w:t>
      </w:r>
    </w:p>
    <w:p w14:paraId="792D71A1" w14:textId="77777777" w:rsidR="004D6C43" w:rsidRDefault="00000000">
      <w:pPr>
        <w:spacing w:before="120" w:after="240" w:line="276" w:lineRule="auto"/>
        <w:ind w:left="420" w:hanging="420"/>
        <w:jc w:val="both"/>
      </w:pPr>
      <w:r>
        <w:rPr>
          <w:rFonts w:eastAsia="Songti SC"/>
          <w:color w:val="000000"/>
          <w:sz w:val="19"/>
        </w:rPr>
        <w:t xml:space="preserve">Verba, Sidney, Nancy Burns, and Kay Lehman Schlozman. 1997. “Knowing and Caring about Politics: Gender and Political Engagement.” </w:t>
      </w:r>
      <w:r>
        <w:rPr>
          <w:rFonts w:eastAsia="Songti SC"/>
          <w:i/>
          <w:color w:val="000000"/>
          <w:sz w:val="19"/>
        </w:rPr>
        <w:t>The Journal of Politics</w:t>
      </w:r>
      <w:r>
        <w:rPr>
          <w:rFonts w:eastAsia="Songti SC"/>
          <w:color w:val="000000"/>
          <w:sz w:val="19"/>
        </w:rPr>
        <w:t xml:space="preserve"> 59(4): 1051-1072.</w:t>
      </w:r>
    </w:p>
    <w:p w14:paraId="5F6D2047" w14:textId="77777777" w:rsidR="004D6C43" w:rsidRDefault="00000000">
      <w:pPr>
        <w:spacing w:before="120" w:after="240" w:line="276" w:lineRule="auto"/>
        <w:ind w:left="420" w:hanging="420"/>
        <w:jc w:val="both"/>
      </w:pPr>
      <w:r>
        <w:rPr>
          <w:rFonts w:eastAsia="Songti SC"/>
          <w:color w:val="000000"/>
          <w:sz w:val="19"/>
        </w:rPr>
        <w:t xml:space="preserve">Yin, Yiyi. 2020. “An Emergent Algorithmic Culture: The Data-ization of Online Fandom in China.” </w:t>
      </w:r>
      <w:r>
        <w:rPr>
          <w:rFonts w:eastAsia="Songti SC"/>
          <w:i/>
          <w:color w:val="000000"/>
          <w:sz w:val="19"/>
        </w:rPr>
        <w:t>International Journal of Cultural Studies</w:t>
      </w:r>
      <w:r>
        <w:rPr>
          <w:rFonts w:eastAsia="Songti SC"/>
          <w:color w:val="000000"/>
          <w:sz w:val="19"/>
        </w:rPr>
        <w:t xml:space="preserve"> 23(4): 475-492.</w:t>
      </w:r>
    </w:p>
    <w:p w14:paraId="787C281E" w14:textId="77777777" w:rsidR="004D6C43" w:rsidRDefault="00000000">
      <w:pPr>
        <w:spacing w:before="120" w:after="240" w:line="276" w:lineRule="auto"/>
        <w:ind w:left="420" w:hanging="420"/>
        <w:jc w:val="both"/>
      </w:pPr>
      <w:r>
        <w:rPr>
          <w:rFonts w:eastAsia="Songti SC"/>
          <w:color w:val="000000"/>
          <w:sz w:val="19"/>
        </w:rPr>
        <w:t xml:space="preserve">Yin, Yiyi. 2021. “‘My Baby Should Feel No Wronged!’: Digital Fandoms and Emotional Capitalism in China.” </w:t>
      </w:r>
      <w:r>
        <w:rPr>
          <w:rFonts w:eastAsia="Songti SC"/>
          <w:i/>
          <w:color w:val="000000"/>
          <w:sz w:val="19"/>
        </w:rPr>
        <w:t>Global Media and China</w:t>
      </w:r>
      <w:r>
        <w:rPr>
          <w:rFonts w:eastAsia="Songti SC"/>
          <w:color w:val="000000"/>
          <w:sz w:val="19"/>
        </w:rPr>
        <w:t xml:space="preserve"> 6(4): 460-475.</w:t>
      </w:r>
    </w:p>
    <w:p w14:paraId="4E1C0F6B" w14:textId="77777777" w:rsidR="004D6C43" w:rsidRDefault="00000000">
      <w:pPr>
        <w:spacing w:before="120" w:after="240" w:line="276" w:lineRule="auto"/>
        <w:ind w:left="420" w:hanging="420"/>
        <w:jc w:val="both"/>
      </w:pPr>
      <w:r>
        <w:rPr>
          <w:rFonts w:eastAsia="Songti SC"/>
          <w:color w:val="000000"/>
          <w:sz w:val="19"/>
        </w:rPr>
        <w:t xml:space="preserve">Zhai, Haoyang, and Wilfred Yang Wang. 2023. “Fans’ Practice of Reporting: A Study of the Structure of Data Fan Labor on Chinese Social Media.” </w:t>
      </w:r>
      <w:r>
        <w:rPr>
          <w:rFonts w:eastAsia="Songti SC"/>
          <w:i/>
          <w:color w:val="000000"/>
          <w:sz w:val="19"/>
        </w:rPr>
        <w:t>International Journal of Communication</w:t>
      </w:r>
      <w:r>
        <w:rPr>
          <w:rFonts w:eastAsia="Songti SC"/>
          <w:color w:val="000000"/>
          <w:sz w:val="19"/>
        </w:rPr>
        <w:t xml:space="preserve"> 17: 1913-1934.</w:t>
      </w:r>
    </w:p>
    <w:p w14:paraId="258853C4" w14:textId="77777777" w:rsidR="004D6C43" w:rsidRDefault="00000000">
      <w:pPr>
        <w:spacing w:before="120" w:after="240" w:line="276" w:lineRule="auto"/>
        <w:ind w:left="420" w:hanging="420"/>
        <w:jc w:val="both"/>
      </w:pPr>
      <w:r>
        <w:rPr>
          <w:rFonts w:eastAsia="Songti SC"/>
          <w:color w:val="000000"/>
          <w:sz w:val="19"/>
        </w:rPr>
        <w:t xml:space="preserve">Zhang, Qian, and Keith Negus. 2020. “East Asian Pop Music Idol Production and the Emergence of Data Fandom in China.” </w:t>
      </w:r>
      <w:r>
        <w:rPr>
          <w:rFonts w:eastAsia="Songti SC"/>
          <w:i/>
          <w:color w:val="000000"/>
          <w:sz w:val="19"/>
        </w:rPr>
        <w:t>International Journal of Cultural Studies</w:t>
      </w:r>
      <w:r>
        <w:rPr>
          <w:rFonts w:eastAsia="Songti SC"/>
          <w:color w:val="000000"/>
          <w:sz w:val="19"/>
        </w:rPr>
        <w:t xml:space="preserve"> 23(4): 493-511.</w:t>
      </w:r>
    </w:p>
    <w:p w14:paraId="7A023C26" w14:textId="77777777" w:rsidR="004D6C43" w:rsidRDefault="00000000">
      <w:pPr>
        <w:spacing w:before="120" w:after="240" w:line="276" w:lineRule="auto"/>
        <w:ind w:left="420" w:hanging="420"/>
        <w:jc w:val="both"/>
      </w:pPr>
      <w:r>
        <w:rPr>
          <w:rFonts w:eastAsia="Songti SC"/>
          <w:color w:val="000000"/>
          <w:sz w:val="19"/>
        </w:rPr>
        <w:t>刘太石，</w:t>
      </w:r>
      <w:r>
        <w:rPr>
          <w:rFonts w:eastAsia="Songti SC"/>
          <w:color w:val="000000"/>
          <w:sz w:val="19"/>
        </w:rPr>
        <w:t>2025</w:t>
      </w:r>
      <w:r>
        <w:rPr>
          <w:rFonts w:eastAsia="Songti SC"/>
          <w:color w:val="000000"/>
          <w:sz w:val="19"/>
        </w:rPr>
        <w:t>，《数字时代的中国青年文化变迁：趣味模式、社会区隔与平台化》，《社会学研究》第</w:t>
      </w:r>
      <w:r>
        <w:rPr>
          <w:rFonts w:eastAsia="Songti SC"/>
          <w:color w:val="000000"/>
          <w:sz w:val="19"/>
        </w:rPr>
        <w:t>3</w:t>
      </w:r>
      <w:r>
        <w:rPr>
          <w:rFonts w:eastAsia="Songti SC"/>
          <w:color w:val="000000"/>
          <w:sz w:val="19"/>
        </w:rPr>
        <w:t>期，第</w:t>
      </w:r>
      <w:r>
        <w:rPr>
          <w:rFonts w:eastAsia="Songti SC"/>
          <w:color w:val="000000"/>
          <w:sz w:val="19"/>
        </w:rPr>
        <w:t>159-181</w:t>
      </w:r>
      <w:r>
        <w:rPr>
          <w:rFonts w:eastAsia="Songti SC"/>
          <w:color w:val="000000"/>
          <w:sz w:val="19"/>
        </w:rPr>
        <w:t>页。</w:t>
      </w:r>
    </w:p>
    <w:p w14:paraId="42CA759D" w14:textId="77777777" w:rsidR="004D6C43" w:rsidRDefault="004D6C43">
      <w:pPr>
        <w:spacing w:before="120" w:after="240" w:line="276" w:lineRule="auto"/>
        <w:ind w:left="420" w:hanging="420"/>
        <w:jc w:val="both"/>
      </w:pPr>
    </w:p>
    <w:p w14:paraId="6C0EF2F5" w14:textId="77777777" w:rsidR="004D6C43" w:rsidRDefault="00000000">
      <w:pPr>
        <w:pStyle w:val="1"/>
        <w:spacing w:before="120" w:after="240"/>
      </w:pPr>
      <w:r>
        <w:rPr>
          <w:rFonts w:ascii="Times New Roman" w:eastAsia="Heiti SC" w:hAnsi="Times New Roman"/>
        </w:rPr>
        <w:lastRenderedPageBreak/>
        <w:t>附录：稳健性图</w:t>
      </w:r>
    </w:p>
    <w:p w14:paraId="148B8290" w14:textId="77777777" w:rsidR="004D6C43" w:rsidRDefault="00000000">
      <w:pPr>
        <w:keepNext/>
        <w:spacing w:before="120" w:after="240"/>
        <w:jc w:val="center"/>
      </w:pPr>
      <w:r>
        <w:rPr>
          <w:noProof/>
        </w:rPr>
        <w:drawing>
          <wp:inline distT="0" distB="0" distL="0" distR="0" wp14:anchorId="4B006B8B" wp14:editId="6A2AA1A3">
            <wp:extent cx="5623560" cy="5078261"/>
            <wp:effectExtent l="0" t="0" r="0" b="0"/>
            <wp:docPr id="9" name="Picture 9" descr="附录图A1 核心变量分布" title="附录图A1 核心变量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819_figA1_distributions.png"/>
                    <pic:cNvPicPr/>
                  </pic:nvPicPr>
                  <pic:blipFill>
                    <a:blip r:embed="rId16"/>
                    <a:stretch>
                      <a:fillRect/>
                    </a:stretch>
                  </pic:blipFill>
                  <pic:spPr>
                    <a:xfrm>
                      <a:off x="0" y="0"/>
                      <a:ext cx="5623560" cy="5078261"/>
                    </a:xfrm>
                    <a:prstGeom prst="rect">
                      <a:avLst/>
                    </a:prstGeom>
                  </pic:spPr>
                </pic:pic>
              </a:graphicData>
            </a:graphic>
          </wp:inline>
        </w:drawing>
      </w:r>
    </w:p>
    <w:p w14:paraId="471C94D2" w14:textId="77777777" w:rsidR="004D6C43" w:rsidRDefault="00000000">
      <w:pPr>
        <w:pStyle w:val="af7"/>
        <w:keepLines/>
        <w:spacing w:before="120" w:after="240"/>
        <w:jc w:val="center"/>
      </w:pPr>
      <w:r>
        <w:t>附录图</w:t>
      </w:r>
      <w:r>
        <w:t xml:space="preserve">A1 </w:t>
      </w:r>
      <w:r>
        <w:t>核心变量分布</w:t>
      </w:r>
    </w:p>
    <w:p w14:paraId="2E861335" w14:textId="77777777" w:rsidR="004D6C43" w:rsidRDefault="00000000">
      <w:pPr>
        <w:spacing w:before="120" w:after="240"/>
      </w:pPr>
      <w:r>
        <w:br w:type="page"/>
      </w:r>
    </w:p>
    <w:p w14:paraId="689BA6B4" w14:textId="77777777" w:rsidR="004D6C43" w:rsidRDefault="00000000">
      <w:pPr>
        <w:keepNext/>
        <w:spacing w:before="120" w:after="240"/>
        <w:jc w:val="center"/>
      </w:pPr>
      <w:r>
        <w:rPr>
          <w:noProof/>
        </w:rPr>
        <w:lastRenderedPageBreak/>
        <w:drawing>
          <wp:inline distT="0" distB="0" distL="0" distR="0" wp14:anchorId="0087EADF" wp14:editId="794A1BC4">
            <wp:extent cx="5623560" cy="3217693"/>
            <wp:effectExtent l="0" t="0" r="0" b="0"/>
            <wp:docPr id="10" name="Picture 10" descr="附录图R1 规格曲线" title="附录图R1 规格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819_figR1_specification_curve.png"/>
                    <pic:cNvPicPr/>
                  </pic:nvPicPr>
                  <pic:blipFill>
                    <a:blip r:embed="rId17"/>
                    <a:stretch>
                      <a:fillRect/>
                    </a:stretch>
                  </pic:blipFill>
                  <pic:spPr>
                    <a:xfrm>
                      <a:off x="0" y="0"/>
                      <a:ext cx="5623560" cy="3217693"/>
                    </a:xfrm>
                    <a:prstGeom prst="rect">
                      <a:avLst/>
                    </a:prstGeom>
                  </pic:spPr>
                </pic:pic>
              </a:graphicData>
            </a:graphic>
          </wp:inline>
        </w:drawing>
      </w:r>
    </w:p>
    <w:p w14:paraId="3657280D" w14:textId="77777777" w:rsidR="004D6C43" w:rsidRDefault="00000000">
      <w:pPr>
        <w:pStyle w:val="af7"/>
        <w:keepLines/>
        <w:spacing w:before="120" w:after="240"/>
        <w:jc w:val="center"/>
      </w:pPr>
      <w:r>
        <w:t>附录图</w:t>
      </w:r>
      <w:r>
        <w:t xml:space="preserve">R1 </w:t>
      </w:r>
      <w:r>
        <w:t>规格曲线</w:t>
      </w:r>
    </w:p>
    <w:p w14:paraId="48A83A56" w14:textId="77777777" w:rsidR="004D6C43" w:rsidRDefault="00000000">
      <w:pPr>
        <w:spacing w:before="120" w:after="240"/>
      </w:pPr>
      <w:r>
        <w:br w:type="page"/>
      </w:r>
    </w:p>
    <w:p w14:paraId="78D2D73F" w14:textId="77777777" w:rsidR="004D6C43" w:rsidRDefault="00000000">
      <w:pPr>
        <w:keepNext/>
        <w:spacing w:before="120" w:after="240"/>
        <w:jc w:val="center"/>
      </w:pPr>
      <w:r>
        <w:rPr>
          <w:noProof/>
        </w:rPr>
        <w:lastRenderedPageBreak/>
        <w:drawing>
          <wp:inline distT="0" distB="0" distL="0" distR="0" wp14:anchorId="2B18153B" wp14:editId="55F3545F">
            <wp:extent cx="5623560" cy="3005543"/>
            <wp:effectExtent l="0" t="0" r="0" b="0"/>
            <wp:docPr id="11" name="Picture 11" descr="附录图R2 各类稳健性检验的方向保持率" title="附录图R2 各类稳健性检验的方向保持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819_figR2_direction_by_family.png"/>
                    <pic:cNvPicPr/>
                  </pic:nvPicPr>
                  <pic:blipFill>
                    <a:blip r:embed="rId18"/>
                    <a:stretch>
                      <a:fillRect/>
                    </a:stretch>
                  </pic:blipFill>
                  <pic:spPr>
                    <a:xfrm>
                      <a:off x="0" y="0"/>
                      <a:ext cx="5623560" cy="3005543"/>
                    </a:xfrm>
                    <a:prstGeom prst="rect">
                      <a:avLst/>
                    </a:prstGeom>
                  </pic:spPr>
                </pic:pic>
              </a:graphicData>
            </a:graphic>
          </wp:inline>
        </w:drawing>
      </w:r>
    </w:p>
    <w:p w14:paraId="4B987C34" w14:textId="77777777" w:rsidR="004D6C43" w:rsidRDefault="00000000">
      <w:pPr>
        <w:pStyle w:val="af7"/>
        <w:keepLines/>
        <w:spacing w:before="120" w:after="240"/>
        <w:jc w:val="center"/>
        <w:rPr>
          <w:lang w:eastAsia="zh-CN"/>
        </w:rPr>
      </w:pPr>
      <w:r>
        <w:rPr>
          <w:lang w:eastAsia="zh-CN"/>
        </w:rPr>
        <w:t>附录图</w:t>
      </w:r>
      <w:r>
        <w:rPr>
          <w:lang w:eastAsia="zh-CN"/>
        </w:rPr>
        <w:t xml:space="preserve">R2 </w:t>
      </w:r>
      <w:r>
        <w:rPr>
          <w:lang w:eastAsia="zh-CN"/>
        </w:rPr>
        <w:t>各类稳健性检验的方向保持率</w:t>
      </w:r>
    </w:p>
    <w:p w14:paraId="33E1BB85" w14:textId="77777777" w:rsidR="004D6C43" w:rsidRDefault="00000000">
      <w:pPr>
        <w:spacing w:before="120" w:after="240"/>
        <w:rPr>
          <w:lang w:eastAsia="zh-CN"/>
        </w:rPr>
      </w:pPr>
      <w:r>
        <w:rPr>
          <w:lang w:eastAsia="zh-CN"/>
        </w:rPr>
        <w:br w:type="page"/>
      </w:r>
    </w:p>
    <w:p w14:paraId="75E3B4FB" w14:textId="77777777" w:rsidR="004D6C43" w:rsidRDefault="00000000">
      <w:pPr>
        <w:keepNext/>
        <w:spacing w:before="120" w:after="240"/>
        <w:jc w:val="center"/>
      </w:pPr>
      <w:r>
        <w:rPr>
          <w:noProof/>
        </w:rPr>
        <w:lastRenderedPageBreak/>
        <w:drawing>
          <wp:inline distT="0" distB="0" distL="0" distR="0" wp14:anchorId="72F8957A" wp14:editId="458B68C6">
            <wp:extent cx="5623560" cy="2884967"/>
            <wp:effectExtent l="0" t="0" r="0" b="0"/>
            <wp:docPr id="12" name="Picture 12" descr="附录图R3 高影响规格与结果变化" title="附录图R3 高影响规格与结果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819_figR3_influence.png"/>
                    <pic:cNvPicPr/>
                  </pic:nvPicPr>
                  <pic:blipFill>
                    <a:blip r:embed="rId19"/>
                    <a:stretch>
                      <a:fillRect/>
                    </a:stretch>
                  </pic:blipFill>
                  <pic:spPr>
                    <a:xfrm>
                      <a:off x="0" y="0"/>
                      <a:ext cx="5623560" cy="2884967"/>
                    </a:xfrm>
                    <a:prstGeom prst="rect">
                      <a:avLst/>
                    </a:prstGeom>
                  </pic:spPr>
                </pic:pic>
              </a:graphicData>
            </a:graphic>
          </wp:inline>
        </w:drawing>
      </w:r>
    </w:p>
    <w:p w14:paraId="3BA2EEF4" w14:textId="77777777" w:rsidR="004D6C43" w:rsidRDefault="00000000">
      <w:pPr>
        <w:pStyle w:val="af7"/>
        <w:keepLines/>
        <w:spacing w:before="120" w:after="240"/>
        <w:jc w:val="center"/>
        <w:rPr>
          <w:lang w:eastAsia="zh-CN"/>
        </w:rPr>
      </w:pPr>
      <w:r>
        <w:rPr>
          <w:lang w:eastAsia="zh-CN"/>
        </w:rPr>
        <w:t>附录图</w:t>
      </w:r>
      <w:r>
        <w:rPr>
          <w:lang w:eastAsia="zh-CN"/>
        </w:rPr>
        <w:t xml:space="preserve">R3 </w:t>
      </w:r>
      <w:r>
        <w:rPr>
          <w:lang w:eastAsia="zh-CN"/>
        </w:rPr>
        <w:t>高影响规格与结果变化</w:t>
      </w:r>
    </w:p>
    <w:p w14:paraId="74B5E486" w14:textId="77777777" w:rsidR="004D6C43" w:rsidRDefault="00000000">
      <w:pPr>
        <w:spacing w:before="120" w:after="240"/>
        <w:rPr>
          <w:lang w:eastAsia="zh-CN"/>
        </w:rPr>
      </w:pPr>
      <w:r>
        <w:rPr>
          <w:lang w:eastAsia="zh-CN"/>
        </w:rPr>
        <w:br w:type="page"/>
      </w:r>
    </w:p>
    <w:p w14:paraId="010CD960" w14:textId="77777777" w:rsidR="004D6C43" w:rsidRDefault="00000000">
      <w:pPr>
        <w:keepNext/>
        <w:spacing w:before="120" w:after="240"/>
        <w:jc w:val="center"/>
      </w:pPr>
      <w:r>
        <w:rPr>
          <w:noProof/>
        </w:rPr>
        <w:lastRenderedPageBreak/>
        <w:drawing>
          <wp:inline distT="0" distB="0" distL="0" distR="0" wp14:anchorId="103F4CB9" wp14:editId="676F120C">
            <wp:extent cx="5623560" cy="2350028"/>
            <wp:effectExtent l="0" t="0" r="0" b="0"/>
            <wp:docPr id="13" name="Picture 13" descr="附录图R4 控制账号使用频率前后的变化" title="附录图R4 控制账号使用频率前后的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819_figR4_attenuation.png"/>
                    <pic:cNvPicPr/>
                  </pic:nvPicPr>
                  <pic:blipFill>
                    <a:blip r:embed="rId20"/>
                    <a:stretch>
                      <a:fillRect/>
                    </a:stretch>
                  </pic:blipFill>
                  <pic:spPr>
                    <a:xfrm>
                      <a:off x="0" y="0"/>
                      <a:ext cx="5623560" cy="2350028"/>
                    </a:xfrm>
                    <a:prstGeom prst="rect">
                      <a:avLst/>
                    </a:prstGeom>
                  </pic:spPr>
                </pic:pic>
              </a:graphicData>
            </a:graphic>
          </wp:inline>
        </w:drawing>
      </w:r>
    </w:p>
    <w:p w14:paraId="64FBF28B" w14:textId="77777777" w:rsidR="004D6C43" w:rsidRDefault="00000000">
      <w:pPr>
        <w:pStyle w:val="af7"/>
        <w:keepLines/>
        <w:spacing w:before="120" w:after="240"/>
        <w:jc w:val="center"/>
        <w:rPr>
          <w:lang w:eastAsia="zh-CN"/>
        </w:rPr>
      </w:pPr>
      <w:r>
        <w:rPr>
          <w:lang w:eastAsia="zh-CN"/>
        </w:rPr>
        <w:t>附录图</w:t>
      </w:r>
      <w:r>
        <w:rPr>
          <w:lang w:eastAsia="zh-CN"/>
        </w:rPr>
        <w:t xml:space="preserve">R4 </w:t>
      </w:r>
      <w:r>
        <w:rPr>
          <w:lang w:eastAsia="zh-CN"/>
        </w:rPr>
        <w:t>控制账号使用频率前后的变化</w:t>
      </w:r>
    </w:p>
    <w:p w14:paraId="3094A0F4" w14:textId="77777777" w:rsidR="004D6C43" w:rsidRDefault="00000000">
      <w:pPr>
        <w:spacing w:before="120" w:after="240"/>
        <w:rPr>
          <w:lang w:eastAsia="zh-CN"/>
        </w:rPr>
      </w:pPr>
      <w:r>
        <w:rPr>
          <w:lang w:eastAsia="zh-CN"/>
        </w:rPr>
        <w:br w:type="page"/>
      </w:r>
    </w:p>
    <w:p w14:paraId="50EF8981" w14:textId="77777777" w:rsidR="004D6C43" w:rsidRDefault="00000000">
      <w:pPr>
        <w:keepNext/>
        <w:spacing w:before="120" w:after="240"/>
        <w:jc w:val="center"/>
      </w:pPr>
      <w:r>
        <w:rPr>
          <w:noProof/>
        </w:rPr>
        <w:lastRenderedPageBreak/>
        <w:drawing>
          <wp:inline distT="0" distB="0" distL="0" distR="0" wp14:anchorId="2B144315" wp14:editId="435E459C">
            <wp:extent cx="5623560" cy="2924054"/>
            <wp:effectExtent l="0" t="0" r="0" b="0"/>
            <wp:docPr id="14" name="Picture 14" descr="附录图R5 词表80%重抽样结果" title="附录图R5 词表80%重抽样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819_figR5_vocabulary_resampling.png"/>
                    <pic:cNvPicPr/>
                  </pic:nvPicPr>
                  <pic:blipFill>
                    <a:blip r:embed="rId21"/>
                    <a:stretch>
                      <a:fillRect/>
                    </a:stretch>
                  </pic:blipFill>
                  <pic:spPr>
                    <a:xfrm>
                      <a:off x="0" y="0"/>
                      <a:ext cx="5623560" cy="2924054"/>
                    </a:xfrm>
                    <a:prstGeom prst="rect">
                      <a:avLst/>
                    </a:prstGeom>
                  </pic:spPr>
                </pic:pic>
              </a:graphicData>
            </a:graphic>
          </wp:inline>
        </w:drawing>
      </w:r>
    </w:p>
    <w:p w14:paraId="107B040A" w14:textId="77777777" w:rsidR="004D6C43" w:rsidRDefault="00000000">
      <w:pPr>
        <w:pStyle w:val="af7"/>
        <w:keepLines/>
        <w:spacing w:before="120" w:after="240"/>
        <w:jc w:val="center"/>
        <w:rPr>
          <w:lang w:eastAsia="zh-CN"/>
        </w:rPr>
      </w:pPr>
      <w:r>
        <w:rPr>
          <w:lang w:eastAsia="zh-CN"/>
        </w:rPr>
        <w:t>附录图</w:t>
      </w:r>
      <w:r>
        <w:rPr>
          <w:lang w:eastAsia="zh-CN"/>
        </w:rPr>
        <w:t xml:space="preserve">R5 </w:t>
      </w:r>
      <w:r>
        <w:rPr>
          <w:lang w:eastAsia="zh-CN"/>
        </w:rPr>
        <w:t>词表</w:t>
      </w:r>
      <w:r>
        <w:rPr>
          <w:lang w:eastAsia="zh-CN"/>
        </w:rPr>
        <w:t>80%</w:t>
      </w:r>
      <w:r>
        <w:rPr>
          <w:lang w:eastAsia="zh-CN"/>
        </w:rPr>
        <w:t>重抽样结果</w:t>
      </w:r>
    </w:p>
    <w:p w14:paraId="5A56B5DE" w14:textId="77777777" w:rsidR="004D6C43" w:rsidRDefault="00000000">
      <w:pPr>
        <w:spacing w:before="120" w:after="240"/>
        <w:rPr>
          <w:lang w:eastAsia="zh-CN"/>
        </w:rPr>
      </w:pPr>
      <w:r>
        <w:rPr>
          <w:lang w:eastAsia="zh-CN"/>
        </w:rPr>
        <w:br w:type="page"/>
      </w:r>
    </w:p>
    <w:p w14:paraId="4B8BF55E" w14:textId="77777777" w:rsidR="004D6C43" w:rsidRDefault="00000000">
      <w:pPr>
        <w:keepNext/>
        <w:spacing w:before="120" w:after="240"/>
        <w:jc w:val="center"/>
      </w:pPr>
      <w:r>
        <w:rPr>
          <w:noProof/>
        </w:rPr>
        <w:lastRenderedPageBreak/>
        <w:drawing>
          <wp:inline distT="0" distB="0" distL="0" distR="0" wp14:anchorId="12A1485E" wp14:editId="5061F7B1">
            <wp:extent cx="5623560" cy="3019146"/>
            <wp:effectExtent l="0" t="0" r="0" b="0"/>
            <wp:docPr id="15" name="Picture 15" descr="附录图R6 来源账号集中度与逐一删除结果" title="附录图R6 来源账号集中度与逐一删除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819_figR6_accounts.png"/>
                    <pic:cNvPicPr/>
                  </pic:nvPicPr>
                  <pic:blipFill>
                    <a:blip r:embed="rId22"/>
                    <a:stretch>
                      <a:fillRect/>
                    </a:stretch>
                  </pic:blipFill>
                  <pic:spPr>
                    <a:xfrm>
                      <a:off x="0" y="0"/>
                      <a:ext cx="5623560" cy="3019146"/>
                    </a:xfrm>
                    <a:prstGeom prst="rect">
                      <a:avLst/>
                    </a:prstGeom>
                  </pic:spPr>
                </pic:pic>
              </a:graphicData>
            </a:graphic>
          </wp:inline>
        </w:drawing>
      </w:r>
    </w:p>
    <w:p w14:paraId="5350EA51" w14:textId="77777777" w:rsidR="004D6C43" w:rsidRDefault="00000000">
      <w:pPr>
        <w:pStyle w:val="af7"/>
        <w:keepLines/>
        <w:spacing w:before="120" w:after="240"/>
        <w:jc w:val="center"/>
        <w:rPr>
          <w:lang w:eastAsia="zh-CN"/>
        </w:rPr>
      </w:pPr>
      <w:r>
        <w:rPr>
          <w:lang w:eastAsia="zh-CN"/>
        </w:rPr>
        <w:t>附录图</w:t>
      </w:r>
      <w:r>
        <w:rPr>
          <w:lang w:eastAsia="zh-CN"/>
        </w:rPr>
        <w:t xml:space="preserve">R6 </w:t>
      </w:r>
      <w:r>
        <w:rPr>
          <w:lang w:eastAsia="zh-CN"/>
        </w:rPr>
        <w:t>来源账号集中度与逐一删除结果</w:t>
      </w:r>
    </w:p>
    <w:p w14:paraId="623A1717" w14:textId="77777777" w:rsidR="004D6C43" w:rsidRDefault="00000000">
      <w:pPr>
        <w:spacing w:before="120" w:after="240"/>
        <w:rPr>
          <w:lang w:eastAsia="zh-CN"/>
        </w:rPr>
      </w:pPr>
      <w:r>
        <w:rPr>
          <w:lang w:eastAsia="zh-CN"/>
        </w:rPr>
        <w:br w:type="page"/>
      </w:r>
    </w:p>
    <w:p w14:paraId="6994BC3F" w14:textId="77777777" w:rsidR="004D6C43" w:rsidRDefault="00000000">
      <w:pPr>
        <w:keepNext/>
        <w:spacing w:before="120" w:after="240"/>
        <w:jc w:val="center"/>
      </w:pPr>
      <w:r>
        <w:rPr>
          <w:noProof/>
        </w:rPr>
        <w:lastRenderedPageBreak/>
        <w:drawing>
          <wp:inline distT="0" distB="0" distL="0" distR="0" wp14:anchorId="59682E52" wp14:editId="0CC5E4A5">
            <wp:extent cx="5623560" cy="2335116"/>
            <wp:effectExtent l="0" t="0" r="0" b="0"/>
            <wp:docPr id="16" name="Picture 16" descr="附录图R7 次级检验的错误发现率校正" title="附录图R7 次级检验的错误发现率校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819_figR7_fdr.png"/>
                    <pic:cNvPicPr/>
                  </pic:nvPicPr>
                  <pic:blipFill>
                    <a:blip r:embed="rId23"/>
                    <a:stretch>
                      <a:fillRect/>
                    </a:stretch>
                  </pic:blipFill>
                  <pic:spPr>
                    <a:xfrm>
                      <a:off x="0" y="0"/>
                      <a:ext cx="5623560" cy="2335116"/>
                    </a:xfrm>
                    <a:prstGeom prst="rect">
                      <a:avLst/>
                    </a:prstGeom>
                  </pic:spPr>
                </pic:pic>
              </a:graphicData>
            </a:graphic>
          </wp:inline>
        </w:drawing>
      </w:r>
    </w:p>
    <w:p w14:paraId="0A06B680" w14:textId="77777777" w:rsidR="004D6C43" w:rsidRDefault="00000000">
      <w:pPr>
        <w:pStyle w:val="af7"/>
        <w:keepLines/>
        <w:spacing w:before="120" w:after="240"/>
        <w:jc w:val="center"/>
        <w:rPr>
          <w:lang w:eastAsia="zh-CN"/>
        </w:rPr>
      </w:pPr>
      <w:r>
        <w:rPr>
          <w:lang w:eastAsia="zh-CN"/>
        </w:rPr>
        <w:t>附录图</w:t>
      </w:r>
      <w:r>
        <w:rPr>
          <w:lang w:eastAsia="zh-CN"/>
        </w:rPr>
        <w:t xml:space="preserve">R7 </w:t>
      </w:r>
      <w:r>
        <w:rPr>
          <w:lang w:eastAsia="zh-CN"/>
        </w:rPr>
        <w:t>次级检验的错误发现率校正</w:t>
      </w:r>
    </w:p>
    <w:sectPr w:rsidR="004D6C43" w:rsidSect="00034616">
      <w:footerReference w:type="default" r:id="rId24"/>
      <w:pgSz w:w="11906" w:h="16838"/>
      <w:pgMar w:top="1440" w:right="1361" w:bottom="1440" w:left="136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6AB997" w14:textId="77777777" w:rsidR="00E32E16" w:rsidRDefault="00E32E16">
      <w:pPr>
        <w:spacing w:before="120" w:after="240"/>
      </w:pPr>
      <w:r>
        <w:separator/>
      </w:r>
    </w:p>
  </w:endnote>
  <w:endnote w:type="continuationSeparator" w:id="0">
    <w:p w14:paraId="347BBD5D" w14:textId="77777777" w:rsidR="00E32E16" w:rsidRDefault="00E32E16">
      <w:pPr>
        <w:spacing w:before="120" w:after="2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panose1 w:val="020B0604020202020204"/>
    <w:charset w:val="86"/>
    <w:family w:val="roman"/>
    <w:pitch w:val="default"/>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New Roman (标题 CS)">
    <w:panose1 w:val="020B0604020202020204"/>
    <w:charset w:val="86"/>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Songti SC">
    <w:panose1 w:val="02010600040101010101"/>
    <w:charset w:val="86"/>
    <w:family w:val="auto"/>
    <w:pitch w:val="variable"/>
    <w:sig w:usb0="00000287" w:usb1="080F0000" w:usb2="00000010" w:usb3="00000000" w:csb0="0004009F" w:csb1="00000000"/>
  </w:font>
  <w:font w:name="Heiti SC">
    <w:panose1 w:val="02000000000000000000"/>
    <w:charset w:val="80"/>
    <w:family w:val="auto"/>
    <w:pitch w:val="variable"/>
    <w:sig w:usb0="8000002F" w:usb1="0807004A" w:usb2="00000010" w:usb3="00000000" w:csb0="003E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E515BB" w14:textId="77777777" w:rsidR="004D6C43" w:rsidRDefault="00000000">
    <w:pPr>
      <w:pStyle w:val="a7"/>
      <w:spacing w:before="120" w:after="240"/>
      <w:jc w:val="center"/>
    </w:pPr>
    <w:r>
      <w:rPr>
        <w:color w:val="000000"/>
        <w:sz w:val="18"/>
      </w:rPr>
      <w:fldChar w:fldCharType="begin"/>
    </w:r>
    <w:r>
      <w:rPr>
        <w:rFonts w:eastAsia="Songti SC"/>
        <w:color w:val="000000"/>
        <w:sz w:val="18"/>
      </w:rPr>
      <w:instrText xml:space="preserve"> PAGE </w:instrText>
    </w:r>
    <w:r>
      <w:rPr>
        <w:color w:val="000000"/>
        <w:sz w:val="18"/>
      </w:rPr>
      <w:fldChar w:fldCharType="separate"/>
    </w:r>
    <w:r w:rsidR="0086428B">
      <w:rPr>
        <w:noProof/>
        <w:color w:val="000000"/>
        <w:sz w:val="18"/>
      </w:rPr>
      <w:t>1</w:t>
    </w:r>
    <w:r>
      <w:rPr>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F7323B" w14:textId="77777777" w:rsidR="00E32E16" w:rsidRDefault="00E32E16">
      <w:pPr>
        <w:spacing w:before="120" w:after="240"/>
      </w:pPr>
      <w:r>
        <w:separator/>
      </w:r>
    </w:p>
  </w:footnote>
  <w:footnote w:type="continuationSeparator" w:id="0">
    <w:p w14:paraId="0AE61922" w14:textId="77777777" w:rsidR="00E32E16" w:rsidRDefault="00E32E16">
      <w:pPr>
        <w:spacing w:before="120" w:after="24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05631195">
    <w:abstractNumId w:val="8"/>
  </w:num>
  <w:num w:numId="2" w16cid:durableId="504903031">
    <w:abstractNumId w:val="6"/>
  </w:num>
  <w:num w:numId="3" w16cid:durableId="1314724674">
    <w:abstractNumId w:val="5"/>
  </w:num>
  <w:num w:numId="4" w16cid:durableId="490104720">
    <w:abstractNumId w:val="4"/>
  </w:num>
  <w:num w:numId="5" w16cid:durableId="1267420911">
    <w:abstractNumId w:val="7"/>
  </w:num>
  <w:num w:numId="6" w16cid:durableId="490562080">
    <w:abstractNumId w:val="3"/>
  </w:num>
  <w:num w:numId="7" w16cid:durableId="990983030">
    <w:abstractNumId w:val="2"/>
  </w:num>
  <w:num w:numId="8" w16cid:durableId="33165095">
    <w:abstractNumId w:val="1"/>
  </w:num>
  <w:num w:numId="9" w16cid:durableId="20438203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3BD"/>
    <w:rsid w:val="00275A05"/>
    <w:rsid w:val="0029639D"/>
    <w:rsid w:val="002B754C"/>
    <w:rsid w:val="00303738"/>
    <w:rsid w:val="003230D1"/>
    <w:rsid w:val="00326F90"/>
    <w:rsid w:val="004D6C43"/>
    <w:rsid w:val="004E135F"/>
    <w:rsid w:val="0053202C"/>
    <w:rsid w:val="006A43D5"/>
    <w:rsid w:val="007A726D"/>
    <w:rsid w:val="007D0268"/>
    <w:rsid w:val="00811532"/>
    <w:rsid w:val="00827C67"/>
    <w:rsid w:val="00847287"/>
    <w:rsid w:val="0086428B"/>
    <w:rsid w:val="008E47CA"/>
    <w:rsid w:val="00AA1D8D"/>
    <w:rsid w:val="00B31ED9"/>
    <w:rsid w:val="00B47730"/>
    <w:rsid w:val="00BA2708"/>
    <w:rsid w:val="00C342D4"/>
    <w:rsid w:val="00CB0664"/>
    <w:rsid w:val="00E13F13"/>
    <w:rsid w:val="00E32E16"/>
    <w:rsid w:val="00E573CD"/>
    <w:rsid w:val="00EB0E6E"/>
    <w:rsid w:val="00EB35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CD9D51"/>
  <w14:defaultImageDpi w14:val="300"/>
  <w15:docId w15:val="{724B8217-C263-C942-8184-4FB3BEFED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31ED9"/>
    <w:pPr>
      <w:spacing w:beforeLines="50" w:before="50" w:afterLines="100" w:after="100" w:line="240" w:lineRule="auto"/>
      <w:ind w:firstLine="420"/>
    </w:pPr>
    <w:rPr>
      <w:rFonts w:ascii="Times New Roman" w:eastAsia="宋体" w:hAnsi="Times New Roman" w:cs="Times New Roman (正文 CS 字体)"/>
      <w:sz w:val="21"/>
    </w:rPr>
  </w:style>
  <w:style w:type="paragraph" w:styleId="1">
    <w:name w:val="heading 1"/>
    <w:basedOn w:val="a1"/>
    <w:next w:val="a1"/>
    <w:link w:val="10"/>
    <w:uiPriority w:val="9"/>
    <w:qFormat/>
    <w:rsid w:val="00811532"/>
    <w:pPr>
      <w:keepNext/>
      <w:keepLines/>
      <w:spacing w:before="240" w:after="120"/>
      <w:ind w:firstLine="0"/>
      <w:outlineLvl w:val="0"/>
    </w:pPr>
    <w:rPr>
      <w:rFonts w:asciiTheme="majorHAnsi" w:eastAsia="黑体" w:hAnsiTheme="majorHAnsi" w:cs="Times New Roman (标题 CS)"/>
      <w:b/>
      <w:bCs/>
      <w:color w:val="000000"/>
      <w:sz w:val="30"/>
      <w:szCs w:val="28"/>
    </w:rPr>
  </w:style>
  <w:style w:type="paragraph" w:styleId="21">
    <w:name w:val="heading 2"/>
    <w:basedOn w:val="a1"/>
    <w:next w:val="a1"/>
    <w:link w:val="22"/>
    <w:uiPriority w:val="9"/>
    <w:unhideWhenUsed/>
    <w:qFormat/>
    <w:rsid w:val="00EB0E6E"/>
    <w:pPr>
      <w:keepNext/>
      <w:keepLines/>
      <w:spacing w:before="180" w:after="80"/>
      <w:ind w:firstLine="0"/>
      <w:outlineLvl w:val="1"/>
    </w:pPr>
    <w:rPr>
      <w:rFonts w:asciiTheme="majorHAnsi" w:eastAsia="黑体" w:hAnsiTheme="majorHAnsi" w:cs="Times New Roman (标题 CS)"/>
      <w:b/>
      <w:bCs/>
      <w:color w:val="000000"/>
      <w:sz w:val="24"/>
      <w:szCs w:val="26"/>
    </w:rPr>
  </w:style>
  <w:style w:type="paragraph" w:styleId="31">
    <w:name w:val="heading 3"/>
    <w:basedOn w:val="a1"/>
    <w:next w:val="a1"/>
    <w:link w:val="32"/>
    <w:uiPriority w:val="9"/>
    <w:unhideWhenUsed/>
    <w:qFormat/>
    <w:rsid w:val="00EB0E6E"/>
    <w:pPr>
      <w:keepNext/>
      <w:keepLines/>
      <w:spacing w:before="200" w:after="0"/>
      <w:outlineLvl w:val="2"/>
    </w:pPr>
    <w:rPr>
      <w:rFonts w:asciiTheme="majorHAnsi" w:eastAsia="黑体" w:hAnsiTheme="majorHAnsi" w:cs="Times New Roman (标题 CS)"/>
      <w:b/>
      <w:bCs/>
      <w:color w:val="000000" w:themeColor="tex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811532"/>
    <w:rPr>
      <w:rFonts w:asciiTheme="majorHAnsi" w:eastAsia="黑体" w:hAnsiTheme="majorHAnsi" w:cs="Times New Roman (标题 CS)"/>
      <w:b/>
      <w:bCs/>
      <w:color w:val="000000"/>
      <w:sz w:val="30"/>
      <w:szCs w:val="28"/>
    </w:rPr>
  </w:style>
  <w:style w:type="character" w:customStyle="1" w:styleId="22">
    <w:name w:val="标题 2 字符"/>
    <w:basedOn w:val="a2"/>
    <w:link w:val="21"/>
    <w:uiPriority w:val="9"/>
    <w:rsid w:val="00EB0E6E"/>
    <w:rPr>
      <w:rFonts w:asciiTheme="majorHAnsi" w:eastAsia="黑体" w:hAnsiTheme="majorHAnsi" w:cs="Times New Roman (标题 CS)"/>
      <w:b/>
      <w:bCs/>
      <w:color w:val="000000"/>
      <w:sz w:val="24"/>
      <w:szCs w:val="26"/>
    </w:rPr>
  </w:style>
  <w:style w:type="character" w:customStyle="1" w:styleId="32">
    <w:name w:val="标题 3 字符"/>
    <w:basedOn w:val="a2"/>
    <w:link w:val="31"/>
    <w:uiPriority w:val="9"/>
    <w:rsid w:val="00EB0E6E"/>
    <w:rPr>
      <w:rFonts w:asciiTheme="majorHAnsi" w:eastAsia="黑体" w:hAnsiTheme="majorHAnsi" w:cs="Times New Roman (标题 CS)"/>
      <w:b/>
      <w:bCs/>
      <w:color w:val="000000" w:themeColor="text1"/>
      <w:sz w:val="2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000000"/>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rFonts w:eastAsia="Songti SC"/>
      <w:b/>
      <w:bCs/>
      <w:color w:val="000000"/>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27</Pages>
  <Words>3013</Words>
  <Characters>17177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性别化的信息领域参与:微博账号的公共事务与明星文化传播和表达</dc:title>
  <dc:subject>社会学研究论文长稿 v3</dc:subject>
  <dc:creator/>
  <cp:keywords>社交媒体；信息领域参与；性别差异</cp:keywords>
  <dc:description>generated by python-docx</dc:description>
  <cp:lastModifiedBy>yuxin hou</cp:lastModifiedBy>
  <cp:revision>16</cp:revision>
  <dcterms:created xsi:type="dcterms:W3CDTF">2013-12-23T23:15:00Z</dcterms:created>
  <dcterms:modified xsi:type="dcterms:W3CDTF">2026-08-21T12:45:00Z</dcterms:modified>
  <cp:category/>
</cp:coreProperties>
</file>