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rFonts w:ascii="Times New Roman" w:hAnsi="Times New Roman" w:eastAsia="Heiti SC"/>
          <w:b/>
          <w:color w:val="000000"/>
          <w:sz w:val="44"/>
        </w:rPr>
        <w:t>性别化的信息领域参与:微博账号的公共事务与明星文化传播和表达</w:t>
      </w:r>
    </w:p>
    <w:p>
      <w:pPr>
        <w:pStyle w:val="Heading1"/>
        <w:jc w:val="left"/>
      </w:pPr>
      <w:r>
        <w:rPr>
          <w:rFonts w:ascii="Times New Roman" w:hAnsi="Times New Roman" w:eastAsia="Heiti SC"/>
          <w:b/>
          <w:color w:val="000000"/>
          <w:sz w:val="30"/>
        </w:rPr>
        <w:t>摘要</w:t>
      </w:r>
    </w:p>
    <w:p>
      <w:pPr>
        <w:widowControl/>
        <w:spacing w:before="0" w:after="0" w:line="360" w:lineRule="auto"/>
        <w:ind w:firstLine="420"/>
        <w:jc w:val="both"/>
      </w:pPr>
      <w:r>
        <w:rPr>
          <w:rFonts w:ascii="Times New Roman" w:hAnsi="Times New Roman" w:eastAsia="Songti SC"/>
          <w:color w:val="000000"/>
          <w:sz w:val="21"/>
        </w:rPr>
        <w:t>数字不平等研究长期关注男性和女性能否获得互联网接入及基本使用条件。随着互联网日益普及，性别差异逐渐从“是否接入”延伸到“进入哪些信息领域”以及“以何种方式参与”。针对这一问题，本文使用2020年微博225,339个账号及其146,811,818条帖子，分析社交媒体信息领域参与的性别差异。研究框架同时比较两个代表性信息领域和两种参与方式：两个领域分别是以社会热点和公共议题为中心的公共事务领域，以及以演艺明星为中心的明星文化领域；两种方式分别是信息消费和内容表达。研究结果显示，在发帖量、转发量和活跃时间相近的账号中，男性账号参与公共事务信息消费的概率比女性账号高3.59个百分点，参与明星文化信息消费的概率低1.50个百分点；男性账号发布的公共事务内容比例比女性账号高9.75个百分点，明星文化内容比例低3.46个百分点。直接比较两个领域后，内容表达中的性别分化为15.29个百分点，约为信息消费中5.16个百分点的三倍。稳健性分析表明，上述结果并未受到个人账号筛选、男女样本数量不平衡、极端值处理、观察月份、来源账号选择或词表构造的实质影响。本文据此指出，网络普及之后的数字性别差异表现为信息领域和参与方式的共同分化：男性账号相对偏向公共事务领域，女性账号相对偏向明星文化领域，而且这种差异在内容表达中比在信息消费中更强。本文的结论限于微博账号层面的描述性关联。</w:t>
      </w:r>
    </w:p>
    <w:p>
      <w:pPr>
        <w:widowControl/>
        <w:spacing w:before="0" w:after="0" w:line="360" w:lineRule="auto"/>
        <w:ind w:firstLine="0"/>
        <w:jc w:val="both"/>
      </w:pPr>
      <w:r>
        <w:rPr>
          <w:rFonts w:ascii="Times New Roman" w:hAnsi="Times New Roman" w:eastAsia="Songti SC"/>
          <w:b/>
          <w:color w:val="000000"/>
          <w:sz w:val="21"/>
        </w:rPr>
        <w:t>关键词：</w:t>
      </w:r>
      <w:r>
        <w:rPr>
          <w:rFonts w:ascii="Times New Roman" w:hAnsi="Times New Roman" w:eastAsia="Songti SC"/>
          <w:color w:val="000000"/>
          <w:sz w:val="21"/>
        </w:rPr>
        <w:t>社交媒体；信息领域参与；性别差异</w:t>
      </w:r>
    </w:p>
    <w:p>
      <w:pPr>
        <w:pStyle w:val="Heading1"/>
        <w:jc w:val="left"/>
      </w:pPr>
      <w:r>
        <w:rPr>
          <w:rFonts w:ascii="Times New Roman" w:hAnsi="Times New Roman" w:eastAsia="Heiti SC"/>
          <w:b/>
          <w:color w:val="000000"/>
          <w:sz w:val="30"/>
        </w:rPr>
        <w:t>一、引言</w:t>
      </w:r>
    </w:p>
    <w:p>
      <w:pPr>
        <w:widowControl/>
        <w:spacing w:before="0" w:after="0" w:line="360" w:lineRule="auto"/>
        <w:ind w:firstLine="420"/>
        <w:jc w:val="both"/>
      </w:pPr>
      <w:r>
        <w:rPr>
          <w:rFonts w:ascii="Times New Roman" w:hAnsi="Times New Roman" w:eastAsia="Songti SC"/>
          <w:color w:val="000000"/>
          <w:sz w:val="21"/>
        </w:rPr>
        <w:t>数字不平等研究早期主要考察不同群体能否接入互联网，以及是否具备基本的设备和连接条件。随着互联网渗透率提高，接入本身越来越难以概括全部差异，研究重心逐步转向数字技能、使用方式和使用收益（DiMaggio和Hargittai，2001；Hargittai，2002；van Deursen和van Dijk，2014）。在这一变化中，性别问题也需要从“男性和女性是否都能上网”推进到“男性和女性进入哪些信息领域，并以何种方式参与这些领域”。</w:t>
      </w:r>
    </w:p>
    <w:p>
      <w:pPr>
        <w:widowControl/>
        <w:spacing w:before="0" w:after="0" w:line="360" w:lineRule="auto"/>
        <w:ind w:firstLine="420"/>
        <w:jc w:val="both"/>
      </w:pPr>
      <w:r>
        <w:rPr>
          <w:rFonts w:ascii="Times New Roman" w:hAnsi="Times New Roman" w:eastAsia="Songti SC"/>
          <w:color w:val="000000"/>
          <w:sz w:val="21"/>
        </w:rPr>
        <w:t>社交媒体为这种转变提供了新的观察场景。公共政策、社会事件、明星动态和文化产品持续出现在同一信息流中，用户可以转发既有来源，也可以评论或发布原创内容。共同的平台入口扩大了信息接触机会，却不会自动使不同用户形成相同的信息选择。用户进入哪些领域、消费哪些来源、公开表达哪些议题，构成网络普及之后数字性别差异的具体内容。</w:t>
      </w:r>
    </w:p>
    <w:p>
      <w:pPr>
        <w:widowControl/>
        <w:spacing w:before="0" w:after="0" w:line="360" w:lineRule="auto"/>
        <w:ind w:firstLine="420"/>
        <w:jc w:val="both"/>
      </w:pPr>
      <w:r>
        <w:rPr>
          <w:rFonts w:ascii="Times New Roman" w:hAnsi="Times New Roman" w:eastAsia="Songti SC"/>
          <w:color w:val="000000"/>
          <w:sz w:val="21"/>
        </w:rPr>
        <w:t>政治兴趣与政治参与研究长期关注男女差异。女性在一般政治兴趣、政治知识和政治效能感上的平均水平通常低于男性，但这种差异会随议题范围和参与形式改变（Verba、Burns和Schlozman，1997；Coffé，2013；Ferrín等，2020）。当研究把地方事务、社会政策或日常生活议题纳入测量时，性别差距往往缩小。笼统的“政治兴趣”因此可能把国家政治和制度议题置于中心，同时遮蔽其他形式的公共关切。</w:t>
      </w:r>
    </w:p>
    <w:p>
      <w:pPr>
        <w:widowControl/>
        <w:spacing w:before="0" w:after="0" w:line="360" w:lineRule="auto"/>
        <w:ind w:firstLine="420"/>
        <w:jc w:val="both"/>
      </w:pPr>
      <w:r>
        <w:rPr>
          <w:rFonts w:ascii="Times New Roman" w:hAnsi="Times New Roman" w:eastAsia="Songti SC"/>
          <w:color w:val="000000"/>
          <w:sz w:val="21"/>
        </w:rPr>
        <w:t>数字平台还使参与方式的差异变得可见。转发某类来源说明账号接触并传播了相应信息，公开发帖则把某类议题写入账号的可见内容。两种行为面对的受众、表达成本和社会评价并不相同（Bode，2017；Koc-Michalska等，2021）。微博记录不能直接测量浏览、阅读或私人兴趣，却能够显示账号留下了哪些消费痕迹和表达痕迹。本文把这些围绕具体信息对象发生、能够被观察和计数的行为称为“信息领域参与”。</w:t>
      </w:r>
    </w:p>
    <w:p>
      <w:pPr>
        <w:widowControl/>
        <w:spacing w:before="0" w:after="0" w:line="360" w:lineRule="auto"/>
        <w:ind w:firstLine="420"/>
        <w:jc w:val="both"/>
      </w:pPr>
      <w:r>
        <w:rPr>
          <w:rFonts w:ascii="Times New Roman" w:hAnsi="Times New Roman" w:eastAsia="Songti SC"/>
          <w:color w:val="000000"/>
          <w:sz w:val="21"/>
        </w:rPr>
        <w:t>现有研究更多考察新闻使用或政治表达，对平台中同样重要的明星文化关注不足。中国网络粉丝通过转发、评论和内容生产维持社群、生产可见度并参与文化产品的分发过程（Yin，2020；Zhang和Negus，2020；He和Li，2023）。本文据此选择两个具有代表性、且在平台上同时可见的信息领域：以社会热点和公共议题为中心的公共事务领域，以及以演艺明星为中心的明星文化领域。把两个领域置于同一批账号、同一观察期和同一统计尺度中，可以检验性别差异究竟体现为总体参与程度，还是体现为参与领域与参与方式的分化。</w:t>
      </w:r>
    </w:p>
    <w:p>
      <w:pPr>
        <w:widowControl/>
        <w:spacing w:before="0" w:after="0" w:line="360" w:lineRule="auto"/>
        <w:ind w:firstLine="420"/>
        <w:jc w:val="both"/>
      </w:pPr>
      <w:r>
        <w:rPr>
          <w:rFonts w:ascii="Times New Roman" w:hAnsi="Times New Roman" w:eastAsia="Songti SC"/>
          <w:color w:val="000000"/>
          <w:sz w:val="21"/>
        </w:rPr>
        <w:t>本文回答三个问题。第一，男性账号和女性账号参与公共事务领域与明星文化领域的程度是否不同？第二，两个领域的性别差异在信息消费和内容表达之间是否具有不同幅度？第三，上述结构是否会因账号类型、使用频率、样本平衡、来源名单、词表和时间范围而改变？本文不以数字痕迹推断个体的私人兴趣，也不把观察性关联解释为性别造成的因果效应。</w:t>
      </w:r>
    </w:p>
    <w:p>
      <w:pPr>
        <w:pStyle w:val="Heading1"/>
        <w:jc w:val="left"/>
      </w:pPr>
      <w:r>
        <w:rPr>
          <w:rFonts w:ascii="Times New Roman" w:hAnsi="Times New Roman" w:eastAsia="Heiti SC"/>
          <w:b/>
          <w:color w:val="000000"/>
          <w:sz w:val="30"/>
        </w:rPr>
        <w:t>二、文献回顾与分析框架</w:t>
      </w:r>
    </w:p>
    <w:p>
      <w:pPr>
        <w:pStyle w:val="Heading2"/>
        <w:jc w:val="left"/>
      </w:pPr>
      <w:r>
        <w:rPr>
          <w:rFonts w:ascii="Times New Roman" w:hAnsi="Times New Roman" w:eastAsia="Heiti SC"/>
          <w:b/>
          <w:color w:val="000000"/>
          <w:sz w:val="24"/>
        </w:rPr>
        <w:t>（一）从政治兴趣差距到领域化参与</w:t>
      </w:r>
    </w:p>
    <w:p>
      <w:pPr>
        <w:widowControl/>
        <w:spacing w:before="0" w:after="0" w:line="360" w:lineRule="auto"/>
        <w:ind w:firstLine="420"/>
        <w:jc w:val="both"/>
      </w:pPr>
      <w:r>
        <w:rPr>
          <w:rFonts w:ascii="Times New Roman" w:hAnsi="Times New Roman" w:eastAsia="Songti SC"/>
          <w:color w:val="000000"/>
          <w:sz w:val="21"/>
        </w:rPr>
        <w:t>政治兴趣既是公共信息接触的动机，也是政治参与的重要前置条件。既有研究显示，性别差距无法完全由教育、收入和可支配时间解释，并可能在较早的社会化阶段形成（Bennett和Bennett，1989；Fraile和Sánchez-Vítores，2020）。不过，政治兴趣并非单一对象。Coffé（2013）区分地方、国家和国际议题后发现，男女在地方议题上的差异很小；Ferrín等（2020）让受访者报告具体关心的问题后，一般政治兴趣中的性别差距也明显缩小。测量将哪些内容划入“政治”，会直接影响性别差异的大小。</w:t>
      </w:r>
    </w:p>
    <w:p>
      <w:pPr>
        <w:widowControl/>
        <w:spacing w:before="0" w:after="0" w:line="360" w:lineRule="auto"/>
        <w:ind w:firstLine="420"/>
        <w:jc w:val="both"/>
      </w:pPr>
      <w:r>
        <w:rPr>
          <w:rFonts w:ascii="Times New Roman" w:hAnsi="Times New Roman" w:eastAsia="Songti SC"/>
          <w:color w:val="000000"/>
          <w:sz w:val="21"/>
        </w:rPr>
        <w:t>高选择媒介环境使新闻接触更依赖既有偏好。媒介选择增加后，新闻偏好者与娱乐偏好者在知识和投票上的差距扩大（Prior，2005），政治兴趣对新闻消费的影响也会随选择空间扩张而增强（Strömbäck、Djerf-Pierre和Shehata，2013）。公共连接研究因此强调，应当区分媒介接触、注意、公共取向和实际行动（Couldry、Livingstone和Markham，2007）。本文观察的是账号围绕特定来源和议题留下的可见行动，不将其外推为完整的政治兴趣或政治参与。</w:t>
      </w:r>
    </w:p>
    <w:p>
      <w:pPr>
        <w:pStyle w:val="Heading2"/>
        <w:jc w:val="left"/>
      </w:pPr>
      <w:r>
        <w:rPr>
          <w:rFonts w:ascii="Times New Roman" w:hAnsi="Times New Roman" w:eastAsia="Heiti SC"/>
          <w:b/>
          <w:color w:val="000000"/>
          <w:sz w:val="24"/>
        </w:rPr>
        <w:t>（二）信息消费与内容表达</w:t>
      </w:r>
    </w:p>
    <w:p>
      <w:pPr>
        <w:widowControl/>
        <w:spacing w:before="0" w:after="0" w:line="360" w:lineRule="auto"/>
        <w:ind w:firstLine="420"/>
        <w:jc w:val="both"/>
      </w:pPr>
      <w:r>
        <w:rPr>
          <w:rFonts w:ascii="Times New Roman" w:hAnsi="Times New Roman" w:eastAsia="Songti SC"/>
          <w:color w:val="000000"/>
          <w:sz w:val="21"/>
        </w:rPr>
        <w:t>信息消费和内容表达对应平台参与的不同环节。平台数据不包含用户的完整浏览记录，本文因此以来源转发作为信息消费的可见指标：转发某类来源说明账号至少接触并传播过该领域的信息。内容表达则考察账号公开文字中出现了哪些议题。前者回答账号消费并传播了哪类来源，后者回答账号公开谈论了什么。同一官方媒体也可能发布文化内容，一条公共事务表达也可能没有转发任何制度化来源，因此两个指标不能互相替代。</w:t>
      </w:r>
    </w:p>
    <w:p>
      <w:pPr>
        <w:widowControl/>
        <w:spacing w:before="0" w:after="0" w:line="360" w:lineRule="auto"/>
        <w:ind w:firstLine="420"/>
        <w:jc w:val="both"/>
      </w:pPr>
      <w:r>
        <w:rPr>
          <w:rFonts w:ascii="Times New Roman" w:hAnsi="Times New Roman" w:eastAsia="Songti SC"/>
          <w:color w:val="000000"/>
          <w:sz w:val="21"/>
        </w:rPr>
        <w:t>两种参与方式还承载不同的社会评价。最低限度的信息消费只要求观察期内至少转发过一次相关来源，内容比例则反映某一议题在全年公开文字中的位置。后者更持续地参与账号形象、受众判断和平台互动。由此可以提出一个可检验的预期：如果性别规范更多作用于公开表达的议题配置，那么公共事务与明星文化之间的性别距离应当在内容表达中更大。</w:t>
      </w:r>
    </w:p>
    <w:p>
      <w:pPr>
        <w:pStyle w:val="Heading2"/>
        <w:jc w:val="left"/>
      </w:pPr>
      <w:r>
        <w:rPr>
          <w:rFonts w:ascii="Times New Roman" w:hAnsi="Times New Roman" w:eastAsia="Heiti SC"/>
          <w:b/>
          <w:color w:val="000000"/>
          <w:sz w:val="24"/>
        </w:rPr>
        <w:t>（三）明星文化作为独立的信息领域</w:t>
      </w:r>
    </w:p>
    <w:p>
      <w:pPr>
        <w:widowControl/>
        <w:spacing w:before="0" w:after="0" w:line="360" w:lineRule="auto"/>
        <w:ind w:firstLine="420"/>
        <w:jc w:val="both"/>
      </w:pPr>
      <w:r>
        <w:rPr>
          <w:rFonts w:ascii="Times New Roman" w:hAnsi="Times New Roman" w:eastAsia="Songti SC"/>
          <w:color w:val="000000"/>
          <w:sz w:val="21"/>
        </w:rPr>
        <w:t>明星文化由娱乐产业、粉丝社群和平台指标共同组织。粉丝的数据化实践将点赞、评论、转发和榜单劳动连接为集体行动（Yin，2020；He和Li，2023）。刘太石（2025）对B站青年文化趣味的研究也表明，平台痕迹可以揭示文化趣味的多元性、均匀性与社会区隔。明星相关行为因此应作为独立文化领域观察，而不能仅作为公共事务参与的剩余类别。</w:t>
      </w:r>
    </w:p>
    <w:p>
      <w:pPr>
        <w:widowControl/>
        <w:spacing w:before="0" w:after="0" w:line="360" w:lineRule="auto"/>
        <w:ind w:firstLine="420"/>
        <w:jc w:val="both"/>
      </w:pPr>
      <w:r>
        <w:rPr>
          <w:rFonts w:ascii="Times New Roman" w:hAnsi="Times New Roman" w:eastAsia="Songti SC"/>
          <w:color w:val="000000"/>
          <w:sz w:val="21"/>
        </w:rPr>
        <w:t>本文所称明星文化，特指以明星姓名和演艺认证来源为边界的可见参与。它不等于全部流行文化，也不能覆盖影视类型、游戏、动漫、体育和生活方式。公共事务与明星文化也不是互斥类别：同一账号可以同时参与两个领域，同一帖子也可以同时命中两个领域。分析关注的是同一性别差异在两个领域中的方向和幅度。</w:t>
      </w:r>
    </w:p>
    <w:p>
      <w:pPr>
        <w:pStyle w:val="Heading2"/>
        <w:jc w:val="left"/>
      </w:pPr>
      <w:r>
        <w:rPr>
          <w:rFonts w:ascii="Times New Roman" w:hAnsi="Times New Roman" w:eastAsia="Heiti SC"/>
          <w:b/>
          <w:color w:val="000000"/>
          <w:sz w:val="24"/>
        </w:rPr>
        <w:t>（四）研究预期</w:t>
      </w:r>
    </w:p>
    <w:p>
      <w:pPr>
        <w:widowControl/>
        <w:spacing w:before="0" w:after="0" w:line="360" w:lineRule="auto"/>
        <w:ind w:firstLine="420"/>
        <w:jc w:val="both"/>
      </w:pPr>
      <w:r>
        <w:rPr>
          <w:rFonts w:ascii="Times New Roman" w:hAnsi="Times New Roman" w:eastAsia="Songti SC"/>
          <w:color w:val="000000"/>
          <w:sz w:val="21"/>
        </w:rPr>
        <w:t>基于上述讨论，本文提出三项经验预期。第一，男性账号相对更多参与公共事务领域，女性账号相对更多参与明星文化领域。第二，两个领域的性别距离在内容表达中大于信息消费。第三，账号构成、使用频率和测量规则会改变差异幅度，但不会轻易改变两个领域相反的总体方向。这些预期均通过描述性模型检验，不预设单一的因果机制。</w:t>
      </w:r>
    </w:p>
    <w:p>
      <w:pPr>
        <w:pStyle w:val="Heading1"/>
        <w:jc w:val="left"/>
      </w:pPr>
      <w:r>
        <w:rPr>
          <w:rFonts w:ascii="Times New Roman" w:hAnsi="Times New Roman" w:eastAsia="Heiti SC"/>
          <w:b/>
          <w:color w:val="000000"/>
          <w:sz w:val="30"/>
        </w:rPr>
        <w:t>三、数据、变量与方法</w:t>
      </w:r>
    </w:p>
    <w:p>
      <w:pPr>
        <w:pStyle w:val="Heading2"/>
        <w:jc w:val="left"/>
      </w:pPr>
      <w:r>
        <w:rPr>
          <w:rFonts w:ascii="Times New Roman" w:hAnsi="Times New Roman" w:eastAsia="Heiti SC"/>
          <w:b/>
          <w:color w:val="000000"/>
          <w:sz w:val="24"/>
        </w:rPr>
        <w:t>（一）数据与分析对象</w:t>
      </w:r>
    </w:p>
    <w:p>
      <w:pPr>
        <w:widowControl/>
        <w:spacing w:before="0" w:after="0" w:line="360" w:lineRule="auto"/>
        <w:ind w:firstLine="420"/>
        <w:jc w:val="both"/>
      </w:pPr>
      <w:r>
        <w:rPr>
          <w:rFonts w:ascii="Times New Roman" w:hAnsi="Times New Roman" w:eastAsia="Songti SC"/>
          <w:color w:val="000000"/>
          <w:sz w:val="21"/>
        </w:rPr>
        <w:t>本文使用2020年微博帖子与用户资料。原始文件覆盖1-9月和11-12月。经过账号匹配和跨文件去重，分析数据库包括225,339个账号和146,811,818条帖子，其中性别字段登记为男性的账号51,836个，登记为女性的账号173,503个。微博资料中的性别字段只有男性和女性两类，无法覆盖多元性别，也不能证明账号属性与实际使用者身份完全一致。下文为行文简洁，将两类账号分别称为“男性账号”和“女性账号”。</w:t>
      </w:r>
    </w:p>
    <w:p>
      <w:pPr>
        <w:widowControl/>
        <w:spacing w:before="0" w:after="0" w:line="360" w:lineRule="auto"/>
        <w:ind w:firstLine="420"/>
        <w:jc w:val="both"/>
      </w:pPr>
      <w:r>
        <w:rPr>
          <w:rFonts w:ascii="Times New Roman" w:hAnsi="Times New Roman" w:eastAsia="Songti SC"/>
          <w:color w:val="000000"/>
          <w:sz w:val="21"/>
        </w:rPr>
        <w:t>分析以账号为基本单位。帖子和转发记录用于构造账号层面的信息消费、内容表达和月份指标；同一账号的多条帖子不被当作彼此独立的观察。需要按月估计的模型以账号-月份为单位，并对同一账号的重复观察使用聚类标准误。</w:t>
      </w:r>
    </w:p>
    <w:p>
      <w:pPr>
        <w:pStyle w:val="Heading2"/>
        <w:jc w:val="left"/>
      </w:pPr>
      <w:r>
        <w:rPr>
          <w:rFonts w:ascii="Times New Roman" w:hAnsi="Times New Roman" w:eastAsia="Heiti SC"/>
          <w:b/>
          <w:color w:val="000000"/>
          <w:sz w:val="24"/>
        </w:rPr>
        <w:t>（二）信息消费的测量</w:t>
      </w:r>
    </w:p>
    <w:p>
      <w:pPr>
        <w:widowControl/>
        <w:spacing w:before="0" w:after="0" w:line="360" w:lineRule="auto"/>
        <w:ind w:firstLine="420"/>
        <w:jc w:val="both"/>
      </w:pPr>
      <w:r>
        <w:rPr>
          <w:rFonts w:ascii="Times New Roman" w:hAnsi="Times New Roman" w:eastAsia="Songti SC"/>
          <w:color w:val="000000"/>
          <w:sz w:val="21"/>
        </w:rPr>
        <w:t>信息消费以实际转发事件作为可见指标。程序首先保留转发记录，再以被转发原帖作者的账号ID匹配来源名单；来源账号自身的转发被排除，同一“用户-原帖-领域”事件在跨文件重复出现时只保留一次。公共事务领域的来源候选来自互联网新闻信息稿源单位名单，经微博账号匹配后有47个账号在2020年数据中产生有效事件。明星文化领域的来源由演艺类别认证账号构成，共有216个活跃来源账号。该指标只能识别留下转发痕迹的信息消费，不能观察用户浏览但未转发的内容。</w:t>
      </w:r>
    </w:p>
    <w:p>
      <w:pPr>
        <w:widowControl/>
        <w:spacing w:before="0" w:after="0" w:line="360" w:lineRule="auto"/>
        <w:ind w:firstLine="420"/>
        <w:jc w:val="both"/>
      </w:pPr>
      <w:r>
        <w:rPr>
          <w:rFonts w:ascii="Times New Roman" w:hAnsi="Times New Roman" w:eastAsia="Songti SC"/>
          <w:color w:val="000000"/>
          <w:sz w:val="21"/>
        </w:rPr>
        <w:t>核心指标是账号在观察期内是否至少转发过一次某领域来源，用于衡量最低限度的信息消费参与，避免少数高频转发账号主导均值。补充指标包括领域来源转发占全部转发的比例、首次参与后的转发次数、参与月份占活跃月份的比例和转发延迟。转发延迟仅表示已经发生的转发与原帖之间的时间间隔，不能解释为用户看到信息后的反应速度。</w:t>
      </w:r>
    </w:p>
    <w:p>
      <w:pPr>
        <w:pStyle w:val="Heading2"/>
        <w:jc w:val="left"/>
      </w:pPr>
      <w:r>
        <w:rPr>
          <w:rFonts w:ascii="Times New Roman" w:hAnsi="Times New Roman" w:eastAsia="Heiti SC"/>
          <w:b/>
          <w:color w:val="000000"/>
          <w:sz w:val="24"/>
        </w:rPr>
        <w:t>（三）内容表达的测量</w:t>
      </w:r>
    </w:p>
    <w:p>
      <w:pPr>
        <w:widowControl/>
        <w:spacing w:before="0" w:after="0" w:line="360" w:lineRule="auto"/>
        <w:ind w:firstLine="420"/>
        <w:jc w:val="both"/>
      </w:pPr>
      <w:r>
        <w:rPr>
          <w:rFonts w:ascii="Times New Roman" w:hAnsi="Times New Roman" w:eastAsia="Songti SC"/>
          <w:color w:val="000000"/>
          <w:sz w:val="21"/>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pPr>
        <w:widowControl/>
        <w:spacing w:before="0" w:after="0" w:line="360" w:lineRule="auto"/>
        <w:ind w:firstLine="420"/>
        <w:jc w:val="both"/>
      </w:pPr>
      <w:r>
        <w:rPr>
          <w:rFonts w:ascii="Times New Roman" w:hAnsi="Times New Roman" w:eastAsia="Songti SC"/>
          <w:color w:val="000000"/>
          <w:sz w:val="21"/>
        </w:rPr>
        <w:t>公共事务词表包含816个经人工审核的词条，明星词表包含535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100%。</w:t>
      </w:r>
    </w:p>
    <w:p>
      <w:pPr>
        <w:pStyle w:val="Heading2"/>
        <w:jc w:val="left"/>
      </w:pPr>
      <w:r>
        <w:rPr>
          <w:rFonts w:ascii="Times New Roman" w:hAnsi="Times New Roman" w:eastAsia="Heiti SC"/>
          <w:b/>
          <w:color w:val="000000"/>
          <w:sz w:val="24"/>
        </w:rPr>
        <w:t>（四）模型设计</w:t>
      </w:r>
    </w:p>
    <w:p>
      <w:pPr>
        <w:widowControl/>
        <w:spacing w:before="0" w:after="0" w:line="360" w:lineRule="auto"/>
        <w:ind w:firstLine="420"/>
        <w:jc w:val="both"/>
      </w:pPr>
      <w:r>
        <w:rPr>
          <w:rFonts w:ascii="Times New Roman" w:hAnsi="Times New Roman" w:eastAsia="Songti SC"/>
          <w:color w:val="000000"/>
          <w:sz w:val="21"/>
        </w:rPr>
        <w:t>本文依次使用三种比较。第一种是未调整比较，只呈现平台数据中男性账号与女性账号实际观察到的差异。第二种是控制账号使用频率的比较，也是本文的主要模型：模型在性别字段之外加入全年发帖数、转发数、活跃天数和活跃月份，用于比较平台使用程度相近的账号。第三种是资料扩展比较，在上述变量基础上进一步加入认证状态、粉丝数、关注数和地区，用于检验资料完整账号中的方向是否一致。资料扩展比较的样本量较小，因此不把它与主要模型之间的系数变化解释为某个控制变量的独立作用。</w:t>
      </w:r>
    </w:p>
    <w:p>
      <w:pPr>
        <w:widowControl/>
        <w:spacing w:before="0" w:after="0" w:line="360" w:lineRule="auto"/>
        <w:ind w:firstLine="420"/>
        <w:jc w:val="both"/>
      </w:pPr>
      <w:r>
        <w:rPr>
          <w:rFonts w:ascii="Times New Roman" w:hAnsi="Times New Roman" w:eastAsia="Songti SC"/>
          <w:color w:val="000000"/>
          <w:sz w:val="21"/>
        </w:rPr>
        <w:t>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本文在结果部分使用“未调整比较”“控制账号使用频率的比较”和“资料扩展比较”，不以模型编号代替模型含义。</w:t>
      </w:r>
    </w:p>
    <w:p>
      <w:pPr>
        <w:widowControl/>
        <w:spacing w:before="0" w:after="0" w:line="360" w:lineRule="auto"/>
        <w:ind w:firstLine="420"/>
        <w:jc w:val="both"/>
      </w:pPr>
      <w:r>
        <w:rPr>
          <w:rFonts w:ascii="Times New Roman" w:hAnsi="Times New Roman" w:eastAsia="Songti SC"/>
          <w:color w:val="000000"/>
          <w:sz w:val="21"/>
        </w:rPr>
        <w:t>两个领域是否存在真正不同的性别差异，需要在同一模型中检验。为此，程序将每个账号展开为公共事务和明星文化两行，拟合性别、领域及其交互项，并使用按账号聚类的广义估计方程。核心估计量为：</w:t>
      </w:r>
    </w:p>
    <w:p>
      <w:pPr>
        <w:spacing w:before="80" w:after="80"/>
        <w:ind w:left="680" w:right="680" w:firstLine="0"/>
        <w:jc w:val="center"/>
      </w:pPr>
      <w:r>
        <w:rPr>
          <w:rFonts w:ascii="Times New Roman" w:hAnsi="Times New Roman" w:eastAsia="Songti SC"/>
          <w:b/>
          <w:color w:val="000000"/>
          <w:sz w:val="20"/>
        </w:rPr>
        <w:t>领域距离＝公共事务中的男性-女性差异－明星文化中的男性-女性差异。</w:t>
      </w:r>
    </w:p>
    <w:p>
      <w:pPr>
        <w:widowControl/>
        <w:spacing w:before="0" w:after="0" w:line="360" w:lineRule="auto"/>
        <w:ind w:firstLine="420"/>
        <w:jc w:val="both"/>
      </w:pPr>
      <w:r>
        <w:rPr>
          <w:rFonts w:ascii="Times New Roman" w:hAnsi="Times New Roman" w:eastAsia="Songti SC"/>
          <w:color w:val="000000"/>
          <w:sz w:val="21"/>
        </w:rPr>
        <w:t>领域距离为正，表示性别差异更偏向公共事务；数值越大，两个领域的性别分化越明显。信息消费和内容表达分别估计这一距离，并报告95%置信区间。</w:t>
      </w:r>
    </w:p>
    <w:p>
      <w:pPr>
        <w:widowControl/>
        <w:spacing w:before="0" w:after="0" w:line="360" w:lineRule="auto"/>
        <w:ind w:firstLine="420"/>
        <w:jc w:val="both"/>
      </w:pPr>
      <w:r>
        <w:rPr>
          <w:rFonts w:ascii="Times New Roman" w:hAnsi="Times New Roman" w:eastAsia="Songti SC"/>
          <w:color w:val="000000"/>
          <w:sz w:val="21"/>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所有扩展结果都围绕具体行为含义解释，不将统计显著直接等同于社会学重要性。</w:t>
      </w:r>
    </w:p>
    <w:p>
      <w:pPr>
        <w:pStyle w:val="Heading2"/>
        <w:jc w:val="left"/>
      </w:pPr>
      <w:r>
        <w:rPr>
          <w:rFonts w:ascii="Times New Roman" w:hAnsi="Times New Roman" w:eastAsia="Heiti SC"/>
          <w:b/>
          <w:color w:val="000000"/>
          <w:sz w:val="24"/>
        </w:rPr>
        <w:t>（五）稳健性检验</w:t>
      </w:r>
    </w:p>
    <w:p>
      <w:pPr>
        <w:widowControl/>
        <w:spacing w:before="0" w:after="0" w:line="360" w:lineRule="auto"/>
        <w:ind w:firstLine="420"/>
        <w:jc w:val="both"/>
      </w:pPr>
      <w:r>
        <w:rPr>
          <w:rFonts w:ascii="Times New Roman" w:hAnsi="Times New Roman" w:eastAsia="Songti SC"/>
          <w:color w:val="000000"/>
          <w:sz w:val="21"/>
        </w:rPr>
        <w:t>稳健性分析围绕样本、测量、来源和模型四个方面展开。样本检验包括男女等量抽样、基于发帖数、转发数、活跃天数和认证状态的1∶1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80%的词条，重复200次。月份检验比较不同时间范围并逐月排除。对次级分析中的可比较检验使用Benjamini-Hochberg方法控制错误发现率。</w:t>
      </w:r>
    </w:p>
    <w:p>
      <w:pPr>
        <w:pStyle w:val="Heading1"/>
        <w:jc w:val="left"/>
      </w:pPr>
      <w:r>
        <w:rPr>
          <w:rFonts w:ascii="Times New Roman" w:hAnsi="Times New Roman" w:eastAsia="Heiti SC"/>
          <w:b/>
          <w:color w:val="000000"/>
          <w:sz w:val="30"/>
        </w:rPr>
        <w:t>四、研究结果</w:t>
      </w:r>
    </w:p>
    <w:p>
      <w:pPr>
        <w:pStyle w:val="Heading2"/>
        <w:jc w:val="left"/>
      </w:pPr>
      <w:r>
        <w:rPr>
          <w:rFonts w:ascii="Times New Roman" w:hAnsi="Times New Roman" w:eastAsia="Heiti SC"/>
          <w:b/>
          <w:color w:val="000000"/>
          <w:sz w:val="24"/>
        </w:rPr>
        <w:t>（一）两个领域呈现方向相反的性别差异</w:t>
      </w:r>
    </w:p>
    <w:p>
      <w:pPr>
        <w:widowControl/>
        <w:spacing w:before="0" w:after="0" w:line="360" w:lineRule="auto"/>
        <w:ind w:firstLine="420"/>
        <w:jc w:val="both"/>
      </w:pPr>
      <w:r>
        <w:rPr>
          <w:rFonts w:ascii="Times New Roman" w:hAnsi="Times New Roman" w:eastAsia="Songti SC"/>
          <w:color w:val="000000"/>
          <w:sz w:val="21"/>
        </w:rPr>
        <w:t>表1先描述全样本的账号数量和总体活动。女性账号数量约为男性账号的3.35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pPr>
        <w:keepNext/>
        <w:spacing w:before="100" w:after="60"/>
        <w:jc w:val="center"/>
      </w:pPr>
      <w:r>
        <w:rPr>
          <w:rFonts w:ascii="Times New Roman" w:hAnsi="Times New Roman" w:eastAsia="Songti SC"/>
          <w:b/>
          <w:color w:val="000000"/>
          <w:sz w:val="21"/>
        </w:rPr>
        <w:t>表1 样本与账号活动描述</w:t>
      </w:r>
    </w:p>
    <w:tbl>
      <w:tblPr>
        <w:tblW w:type="dxa" w:w="9273"/>
        <w:jc w:val="center"/>
        <w:tblLayout w:type="fixed"/>
        <w:tblLook w:firstColumn="1" w:firstRow="1" w:lastColumn="0" w:lastRow="0" w:noHBand="0" w:noVBand="1" w:val="04A0"/>
      </w:tblPr>
      <w:tblGrid>
        <w:gridCol w:w="1440"/>
        <w:gridCol w:w="1036"/>
        <w:gridCol w:w="1094"/>
        <w:gridCol w:w="1094"/>
        <w:gridCol w:w="1094"/>
        <w:gridCol w:w="1094"/>
        <w:gridCol w:w="1209"/>
        <w:gridCol w:w="1209"/>
      </w:tblGrid>
      <w:tr>
        <w:trPr>
          <w:cantSplit/>
          <w:tblHeader w:val="true"/>
        </w:trPr>
        <w:tc>
          <w:tcPr>
            <w:tcW w:type="dxa" w:w="144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left"/>
            </w:pPr>
            <w:r>
              <w:rPr>
                <w:rFonts w:ascii="Times New Roman" w:hAnsi="Times New Roman" w:eastAsia="Songti SC"/>
                <w:b/>
                <w:color w:val="000000"/>
                <w:sz w:val="21"/>
              </w:rPr>
            </w:r>
            <w:r>
              <w:rPr>
                <w:rFonts w:ascii="Times New Roman" w:hAnsi="Times New Roman" w:eastAsia="Songti SC"/>
                <w:b/>
                <w:color w:val="000000"/>
                <w:sz w:val="21"/>
              </w:rPr>
              <w:t>性别</w:t>
            </w:r>
          </w:p>
        </w:tc>
        <w:tc>
          <w:tcPr>
            <w:tcW w:type="dxa" w:w="1036"/>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账号数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平均发帖数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发帖数中位数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平均转发数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转发数中位数</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平均活跃天数</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平均活跃月份</w:t>
            </w:r>
          </w:p>
        </w:tc>
      </w:tr>
      <w:tr>
        <w:trPr>
          <w:cantSplit/>
        </w:trPr>
        <w:tc>
          <w:tcPr>
            <w:tcW w:type="dxa" w:w="1440"/>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男性</w:t>
            </w:r>
          </w:p>
        </w:tc>
        <w:tc>
          <w:tcPr>
            <w:tcW w:type="dxa" w:w="1036"/>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51,836</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698.95</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196</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400.50</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72</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118.37</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9.21</w:t>
            </w:r>
          </w:p>
        </w:tc>
      </w:tr>
      <w:tr>
        <w:trPr>
          <w:cantSplit/>
        </w:trPr>
        <w:tc>
          <w:tcPr>
            <w:tcW w:type="dxa" w:w="1440"/>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女性</w:t>
            </w:r>
          </w:p>
        </w:tc>
        <w:tc>
          <w:tcPr>
            <w:tcW w:type="dxa" w:w="1036"/>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173,503</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637.34</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209</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454.29</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103</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120.02</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9.46</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注：观察期覆盖2020年1-9月及11-12月。</w:t>
      </w:r>
    </w:p>
    <w:p>
      <w:pPr>
        <w:widowControl/>
        <w:spacing w:before="0" w:after="0" w:line="360" w:lineRule="auto"/>
        <w:ind w:firstLine="420"/>
        <w:jc w:val="both"/>
      </w:pPr>
      <w:r>
        <w:rPr>
          <w:rFonts w:ascii="Times New Roman" w:hAnsi="Times New Roman" w:eastAsia="Songti SC"/>
          <w:color w:val="000000"/>
          <w:sz w:val="21"/>
        </w:rPr>
        <w:t>图1呈现平台中实际观察到的四项核心结果。在信息消费方面，男性账号中有12.66%至少转发过一次公共事务来源，女性账号为10.86%；男性账号中有4.81%至少转发过一次明星文化来源，女性账号为7.16%。在内容表达方面，男性账号的公共事务帖子比例平均为20.43%，女性账号为7.87%；男性账号的明星文化帖子比例为3.72%，女性账号为7.44%。两个领域的性别差异方向相反，说明总体参与数量无法概括男性和女性在平台上的信息选择。</w:t>
      </w:r>
    </w:p>
    <w:p>
      <w:pPr>
        <w:keepNext/>
        <w:spacing w:before="120" w:after="60"/>
        <w:jc w:val="center"/>
      </w:pPr>
      <w:r>
        <w:drawing>
          <wp:inline xmlns:a="http://schemas.openxmlformats.org/drawingml/2006/main" xmlns:pic="http://schemas.openxmlformats.org/drawingml/2006/picture">
            <wp:extent cx="5623560" cy="2157203"/>
            <wp:docPr id="1" name="Picture 1" descr="图1 全样本四项核心参与结果" title="图1 全样本四项核心参与结果"/>
            <wp:cNvGraphicFramePr>
              <a:graphicFrameLocks noChangeAspect="1"/>
            </wp:cNvGraphicFramePr>
            <a:graphic>
              <a:graphicData uri="http://schemas.openxmlformats.org/drawingml/2006/picture">
                <pic:pic>
                  <pic:nvPicPr>
                    <pic:cNvPr id="0" name="20260819_fig1_core_outcomes.png"/>
                    <pic:cNvPicPr/>
                  </pic:nvPicPr>
                  <pic:blipFill>
                    <a:blip r:embed="rId10"/>
                    <a:stretch>
                      <a:fillRect/>
                    </a:stretch>
                  </pic:blipFill>
                  <pic:spPr>
                    <a:xfrm>
                      <a:off x="0" y="0"/>
                      <a:ext cx="5623560" cy="215720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图1 全样本四项核心参与结果</w:t>
      </w:r>
    </w:p>
    <w:p>
      <w:pPr>
        <w:widowControl/>
        <w:spacing w:before="0" w:after="0" w:line="360" w:lineRule="auto"/>
        <w:ind w:firstLine="420"/>
        <w:jc w:val="both"/>
      </w:pPr>
      <w:r>
        <w:rPr>
          <w:rFonts w:ascii="Times New Roman" w:hAnsi="Times New Roman" w:eastAsia="Songti SC"/>
          <w:color w:val="000000"/>
          <w:sz w:val="21"/>
        </w:rPr>
        <w:t>控制账号使用频率的模型进一步比较发帖量、转发量和活跃时间相近的账号。表2显示，在信息消费方面，男性账号参与公共事务领域的概率比女性账号高3.59个百分点，参与明星文化领域的概率低1.50个百分点；在内容表达方面，男性账号的公共事务内容比例比女性账号高9.75个百分点，明星文化内容比例低3.46个百分点。四个置信区间均未跨越零。资料扩展比较虽然只保留资料完整账号，但方向与主要模型一致。</w:t>
      </w:r>
    </w:p>
    <w:p>
      <w:pPr>
        <w:keepNext/>
        <w:spacing w:before="100" w:after="60"/>
        <w:jc w:val="center"/>
      </w:pPr>
      <w:r>
        <w:rPr>
          <w:rFonts w:ascii="Times New Roman" w:hAnsi="Times New Roman" w:eastAsia="Songti SC"/>
          <w:b/>
          <w:color w:val="000000"/>
          <w:sz w:val="21"/>
        </w:rPr>
        <w:t>表2 不同比较条件下的核心性别差异</w:t>
      </w:r>
    </w:p>
    <w:tbl>
      <w:tblPr>
        <w:tblW w:type="dxa" w:w="8927"/>
        <w:jc w:val="center"/>
        <w:tblLayout w:type="fixed"/>
        <w:tblLook w:firstColumn="1" w:firstRow="1" w:lastColumn="0" w:lastRow="0" w:noHBand="0" w:noVBand="1" w:val="04A0"/>
      </w:tblPr>
      <w:tblGrid>
        <w:gridCol w:w="2131"/>
        <w:gridCol w:w="1699"/>
        <w:gridCol w:w="1699"/>
        <w:gridCol w:w="1699"/>
        <w:gridCol w:w="1699"/>
      </w:tblGrid>
      <w:tr>
        <w:trPr>
          <w:cantSplit/>
          <w:tblHeader w:val="true"/>
        </w:trPr>
        <w:tc>
          <w:tcPr>
            <w:tcW w:type="dxa" w:w="2131"/>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left"/>
            </w:pPr>
            <w:r>
              <w:rPr>
                <w:rFonts w:ascii="Times New Roman" w:hAnsi="Times New Roman" w:eastAsia="Songti SC"/>
                <w:b/>
                <w:color w:val="000000"/>
                <w:sz w:val="21"/>
              </w:rPr>
            </w:r>
            <w:r>
              <w:rPr>
                <w:rFonts w:ascii="Times New Roman" w:hAnsi="Times New Roman" w:eastAsia="Songti SC"/>
                <w:b/>
                <w:color w:val="000000"/>
                <w:sz w:val="21"/>
              </w:rPr>
              <w:t>比较条件</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公共事务信息消费</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明星文化信息消费</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公共事务内容表达</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明星文化内容表达</w:t>
            </w:r>
          </w:p>
        </w:tc>
      </w:tr>
      <w:tr>
        <w:trPr>
          <w:cantSplit/>
        </w:trPr>
        <w:tc>
          <w:tcPr>
            <w:tcW w:type="dxa" w:w="2131"/>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未调整比较</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1.80 [1.48, 2.12]</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-2.35 [-2.57, -2.13]</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12.56 [12.32, 12.80]</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-3.72 [-3.84, -3.61]</w:t>
            </w:r>
          </w:p>
        </w:tc>
      </w:tr>
      <w:tr>
        <w:trPr>
          <w:cantSplit/>
        </w:trPr>
        <w:tc>
          <w:tcPr>
            <w:tcW w:type="dxa" w:w="2131"/>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控制账号使用频率（主要结果）</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3.59 [3.28, 3.91]</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-1.50 [-1.73, -1.28]</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9.75 [9.54, 9.96]</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-3.46 [-3.58, -3.34]</w:t>
            </w:r>
          </w:p>
        </w:tc>
      </w:tr>
      <w:tr>
        <w:trPr>
          <w:cantSplit/>
        </w:trPr>
        <w:tc>
          <w:tcPr>
            <w:tcW w:type="dxa" w:w="2131"/>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资料扩展</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4.17 [3.79, 4.55]</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-1.70 [-1.97, -1.44]</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9.33 [9.09, 9.56]</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-4.17 [-4.31, -4.03]</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表中为男性账号减女性账号的平均边际效应，单位为百分点，方括号内为95%置信区间。未调整比较只包含性别字段；控制账号使用频率的比较加入全年发帖数、转发数、活跃天数和活跃月份；资料扩展比较进一步加入认证状态、粉丝数、关注数和地区。信息消费模型的全样本量为225,339，内容表达模型为224,302；资料扩展比较分别为155,977和155,230。</w:t>
      </w:r>
    </w:p>
    <w:p>
      <w:pPr>
        <w:keepNext/>
        <w:spacing w:before="120" w:after="60"/>
        <w:jc w:val="center"/>
      </w:pPr>
      <w:r>
        <w:drawing>
          <wp:inline xmlns:a="http://schemas.openxmlformats.org/drawingml/2006/main" xmlns:pic="http://schemas.openxmlformats.org/drawingml/2006/picture">
            <wp:extent cx="5623560" cy="2294909"/>
            <wp:docPr id="2" name="Picture 2" descr="图2 不同比较条件下的性别差异" title="图2 不同比较条件下的性别差异"/>
            <wp:cNvGraphicFramePr>
              <a:graphicFrameLocks noChangeAspect="1"/>
            </wp:cNvGraphicFramePr>
            <a:graphic>
              <a:graphicData uri="http://schemas.openxmlformats.org/drawingml/2006/picture">
                <pic:pic>
                  <pic:nvPicPr>
                    <pic:cNvPr id="0" name="20260819_fig2_adjusted_effects.png"/>
                    <pic:cNvPicPr/>
                  </pic:nvPicPr>
                  <pic:blipFill>
                    <a:blip r:embed="rId11"/>
                    <a:stretch>
                      <a:fillRect/>
                    </a:stretch>
                  </pic:blipFill>
                  <pic:spPr>
                    <a:xfrm>
                      <a:off x="0" y="0"/>
                      <a:ext cx="5623560" cy="229490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图2 不同比较条件下的性别差异</w:t>
      </w:r>
    </w:p>
    <w:p>
      <w:pPr>
        <w:widowControl/>
        <w:spacing w:before="0" w:after="0" w:line="360" w:lineRule="auto"/>
        <w:ind w:firstLine="420"/>
        <w:jc w:val="both"/>
      </w:pPr>
      <w:r>
        <w:rPr>
          <w:rFonts w:ascii="Times New Roman" w:hAnsi="Times New Roman" w:eastAsia="Songti SC"/>
          <w:color w:val="000000"/>
          <w:sz w:val="21"/>
        </w:rPr>
        <w:t>控制账号使用频率改变了差异幅度，却没有改变领域方向。公共事务信息消费中的男性优势由1.80个百分点扩大到3.59个百分点，说明女性账号较高的总体转发量在未调整比较中掩盖了部分领域差异；公共事务内容表达的差异由12.56个百分点缩小到9.75个百分点，说明总体发帖结构解释了部分内容差异。账号使用频率会改变估计大小，但不足以解释两个领域相反的性别配置；结果的实质意义来自效应方向和幅度，而非控制变量加入后的显著性。</w:t>
      </w:r>
    </w:p>
    <w:p>
      <w:pPr>
        <w:pStyle w:val="Heading2"/>
        <w:jc w:val="left"/>
      </w:pPr>
      <w:r>
        <w:rPr>
          <w:rFonts w:ascii="Times New Roman" w:hAnsi="Times New Roman" w:eastAsia="Heiti SC"/>
          <w:b/>
          <w:color w:val="000000"/>
          <w:sz w:val="24"/>
        </w:rPr>
        <w:t>（二）内容表达中的领域分化更强</w:t>
      </w:r>
    </w:p>
    <w:p>
      <w:pPr>
        <w:widowControl/>
        <w:spacing w:before="0" w:after="0" w:line="360" w:lineRule="auto"/>
        <w:ind w:firstLine="420"/>
        <w:jc w:val="both"/>
      </w:pPr>
      <w:r>
        <w:rPr>
          <w:rFonts w:ascii="Times New Roman" w:hAnsi="Times New Roman" w:eastAsia="Songti SC"/>
          <w:color w:val="000000"/>
          <w:sz w:val="21"/>
        </w:rPr>
        <w:t>图3把两个领域放入同一交互模型，直接检验同一种参与方式中的性别差异是否因领域而变化。控制账号使用频率后，信息消费中的领域距离为5.16个百分点，95%置信区间为[4.78, 5.55]；内容表达中的领域距离为15.29个百分点，95%置信区间为[15.04, 15.54]。这意味着，从公共事务领域到明星文化领域，男性账号相对于女性账号的参与优势在信息消费中变化5.16个百分点，在内容表达中变化15.29个百分点。</w:t>
      </w:r>
    </w:p>
    <w:p>
      <w:pPr>
        <w:keepNext/>
        <w:spacing w:before="100" w:after="60"/>
        <w:jc w:val="center"/>
      </w:pPr>
      <w:r>
        <w:rPr>
          <w:rFonts w:ascii="Times New Roman" w:hAnsi="Times New Roman" w:eastAsia="Songti SC"/>
          <w:b/>
          <w:color w:val="000000"/>
          <w:sz w:val="21"/>
        </w:rPr>
        <w:t>表3 公共事务与明星文化之间的性别差异距离</w:t>
      </w:r>
    </w:p>
    <w:tbl>
      <w:tblPr>
        <w:tblW w:type="dxa" w:w="8812"/>
        <w:jc w:val="center"/>
        <w:tblLayout w:type="fixed"/>
        <w:tblLook w:firstColumn="1" w:firstRow="1" w:lastColumn="0" w:lastRow="0" w:noHBand="0" w:noVBand="1" w:val="04A0"/>
      </w:tblPr>
      <w:tblGrid>
        <w:gridCol w:w="3052"/>
        <w:gridCol w:w="2880"/>
        <w:gridCol w:w="2880"/>
      </w:tblGrid>
      <w:tr>
        <w:trPr>
          <w:cantSplit/>
          <w:tblHeader w:val="true"/>
        </w:trPr>
        <w:tc>
          <w:tcPr>
            <w:tcW w:type="dxa" w:w="30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left"/>
            </w:pPr>
            <w:r>
              <w:rPr>
                <w:rFonts w:ascii="Times New Roman" w:hAnsi="Times New Roman" w:eastAsia="Songti SC"/>
                <w:b/>
                <w:color w:val="000000"/>
                <w:sz w:val="21"/>
              </w:rPr>
            </w:r>
            <w:r>
              <w:rPr>
                <w:rFonts w:ascii="Times New Roman" w:hAnsi="Times New Roman" w:eastAsia="Songti SC"/>
                <w:b/>
                <w:color w:val="000000"/>
                <w:sz w:val="21"/>
              </w:rPr>
              <w:t>比较条件</w:t>
            </w:r>
          </w:p>
        </w:tc>
        <w:tc>
          <w:tcPr>
            <w:tcW w:type="dxa" w:w="288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信息消费的领域距离</w:t>
            </w:r>
          </w:p>
        </w:tc>
        <w:tc>
          <w:tcPr>
            <w:tcW w:type="dxa" w:w="288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内容表达的领域距离</w:t>
            </w:r>
          </w:p>
        </w:tc>
      </w:tr>
      <w:tr>
        <w:trPr>
          <w:cantSplit/>
        </w:trPr>
        <w:tc>
          <w:tcPr>
            <w:tcW w:type="dxa" w:w="30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未调整比较</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4.15 [3.79, 4.51]</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16.28 [16.01, 16.56]</w:t>
            </w:r>
          </w:p>
        </w:tc>
      </w:tr>
      <w:tr>
        <w:trPr>
          <w:cantSplit/>
        </w:trPr>
        <w:tc>
          <w:tcPr>
            <w:tcW w:type="dxa" w:w="30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控制账号使用频率（主要结果）</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5.16 [4.78, 5.55]</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15.29 [15.04, 15.54]</w:t>
            </w:r>
          </w:p>
        </w:tc>
      </w:tr>
      <w:tr>
        <w:trPr>
          <w:cantSplit/>
        </w:trPr>
        <w:tc>
          <w:tcPr>
            <w:tcW w:type="dxa" w:w="30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资料扩展</w:t>
            </w:r>
          </w:p>
        </w:tc>
        <w:tc>
          <w:tcPr>
            <w:tcW w:type="dxa" w:w="2880"/>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6.39 [5.94, 6.84]</w:t>
            </w:r>
          </w:p>
        </w:tc>
        <w:tc>
          <w:tcPr>
            <w:tcW w:type="dxa" w:w="2880"/>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17.50 [17.21, 17.79]</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注：领域距离＝公共事务中的男性-女性差异－明星文化中的男性-女性差异，单位为百分点。正值表示性别差异更偏向公共事务。</w:t>
      </w:r>
    </w:p>
    <w:p>
      <w:pPr>
        <w:keepNext/>
        <w:spacing w:before="120" w:after="60"/>
        <w:jc w:val="center"/>
      </w:pPr>
      <w:r>
        <w:drawing>
          <wp:inline xmlns:a="http://schemas.openxmlformats.org/drawingml/2006/main" xmlns:pic="http://schemas.openxmlformats.org/drawingml/2006/picture">
            <wp:extent cx="5623560" cy="2519948"/>
            <wp:docPr id="3" name="Picture 3" descr="图3 性别与信息领域的交互结果" title="图3 性别与信息领域的交互结果"/>
            <wp:cNvGraphicFramePr>
              <a:graphicFrameLocks noChangeAspect="1"/>
            </wp:cNvGraphicFramePr>
            <a:graphic>
              <a:graphicData uri="http://schemas.openxmlformats.org/drawingml/2006/picture">
                <pic:pic>
                  <pic:nvPicPr>
                    <pic:cNvPr id="0" name="20260819_fig3_interaction.png"/>
                    <pic:cNvPicPr/>
                  </pic:nvPicPr>
                  <pic:blipFill>
                    <a:blip r:embed="rId12"/>
                    <a:stretch>
                      <a:fillRect/>
                    </a:stretch>
                  </pic:blipFill>
                  <pic:spPr>
                    <a:xfrm>
                      <a:off x="0" y="0"/>
                      <a:ext cx="5623560" cy="2519948"/>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图3 性别与信息领域的交互结果</w:t>
      </w:r>
    </w:p>
    <w:p>
      <w:pPr>
        <w:widowControl/>
        <w:spacing w:before="0" w:after="0" w:line="360" w:lineRule="auto"/>
        <w:ind w:firstLine="420"/>
        <w:jc w:val="both"/>
      </w:pPr>
      <w:r>
        <w:rPr>
          <w:rFonts w:ascii="Times New Roman" w:hAnsi="Times New Roman" w:eastAsia="Songti SC"/>
          <w:color w:val="000000"/>
          <w:sz w:val="21"/>
        </w:rPr>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参与方式具有不同分化幅度”的预期。它与公开表达承载更强身份呈现和受众评价的解释相符，但现有数据不能在兴趣、表达成本、社群规范和算法曝光之间识别具体机制。</w:t>
      </w:r>
    </w:p>
    <w:p>
      <w:pPr>
        <w:pStyle w:val="Heading2"/>
        <w:jc w:val="left"/>
      </w:pPr>
      <w:r>
        <w:rPr>
          <w:rFonts w:ascii="Times New Roman" w:hAnsi="Times New Roman" w:eastAsia="Heiti SC"/>
          <w:b/>
          <w:color w:val="000000"/>
          <w:sz w:val="24"/>
        </w:rPr>
        <w:t>（三）信息消费与内容表达并不重合</w:t>
      </w:r>
    </w:p>
    <w:p>
      <w:pPr>
        <w:widowControl/>
        <w:spacing w:before="0" w:after="0" w:line="360" w:lineRule="auto"/>
        <w:ind w:firstLine="420"/>
        <w:jc w:val="both"/>
      </w:pPr>
      <w:r>
        <w:rPr>
          <w:rFonts w:ascii="Times New Roman" w:hAnsi="Times New Roman" w:eastAsia="Songti SC"/>
          <w:color w:val="000000"/>
          <w:sz w:val="21"/>
        </w:rPr>
        <w:t>核心信息消费指标回答账号是否跨过某一领域的最低参与门槛，来源转发占比则回答该领域在全部转发中占多大位置。控制账号使用频率后，男性账号的公共事务来源转发占全部转发的比例仅高0.27个百分点，明星文化来源转发占比的性别差异为0.002个百分点，置信区间跨越零。与此同时，公共事务和明星文化的内容表达比例仍分别相差9.75和-3.46个百分点。最低限度的信息消费、持续传播和内容表达因而不能合并为一个统一指标。</w:t>
      </w:r>
    </w:p>
    <w:p>
      <w:pPr>
        <w:widowControl/>
        <w:spacing w:before="0" w:after="0" w:line="360" w:lineRule="auto"/>
        <w:ind w:firstLine="420"/>
        <w:jc w:val="both"/>
      </w:pPr>
      <w:r>
        <w:rPr>
          <w:rFonts w:ascii="Times New Roman" w:hAnsi="Times New Roman" w:eastAsia="Songti SC"/>
          <w:color w:val="000000"/>
          <w:sz w:val="21"/>
        </w:rPr>
        <w:t>图4把信息消费与内容表达交叉为四种参与类型。在公共事务领域，大多数账号只在内容中命中公共事务词条而没有转发名单内的官方媒体；在明星文化领域，女性账号的“仅内容表达”比例更高，男性账号更常在两种参与方式中都没有留下记录。信息消费与内容表达之间存在联系，但两者覆盖的行为范围明显不同。</w:t>
      </w:r>
    </w:p>
    <w:p>
      <w:pPr>
        <w:keepNext/>
        <w:spacing w:before="120" w:after="60"/>
        <w:jc w:val="center"/>
      </w:pPr>
      <w:r>
        <w:drawing>
          <wp:inline xmlns:a="http://schemas.openxmlformats.org/drawingml/2006/main" xmlns:pic="http://schemas.openxmlformats.org/drawingml/2006/picture">
            <wp:extent cx="5623560" cy="2914217"/>
            <wp:docPr id="4" name="Picture 4" descr="图4 信息消费与内容表达的组合" title="图4 信息消费与内容表达的组合"/>
            <wp:cNvGraphicFramePr>
              <a:graphicFrameLocks noChangeAspect="1"/>
            </wp:cNvGraphicFramePr>
            <a:graphic>
              <a:graphicData uri="http://schemas.openxmlformats.org/drawingml/2006/picture">
                <pic:pic>
                  <pic:nvPicPr>
                    <pic:cNvPr id="0" name="20260819_fig4_source_content.png"/>
                    <pic:cNvPicPr/>
                  </pic:nvPicPr>
                  <pic:blipFill>
                    <a:blip r:embed="rId13"/>
                    <a:stretch>
                      <a:fillRect/>
                    </a:stretch>
                  </pic:blipFill>
                  <pic:spPr>
                    <a:xfrm>
                      <a:off x="0" y="0"/>
                      <a:ext cx="5623560" cy="2914217"/>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图4 信息消费与内容表达的组合</w:t>
      </w:r>
    </w:p>
    <w:p>
      <w:pPr>
        <w:widowControl/>
        <w:spacing w:before="0" w:after="0" w:line="360" w:lineRule="auto"/>
        <w:ind w:firstLine="420"/>
        <w:jc w:val="both"/>
      </w:pPr>
      <w:r>
        <w:rPr>
          <w:rFonts w:ascii="Times New Roman" w:hAnsi="Times New Roman" w:eastAsia="Songti SC"/>
          <w:color w:val="000000"/>
          <w:sz w:val="21"/>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新闻-娱乐使用指数”，会掩盖信息来源与表达议题的差别。</w:t>
      </w:r>
    </w:p>
    <w:p>
      <w:pPr>
        <w:pStyle w:val="Heading2"/>
        <w:jc w:val="left"/>
      </w:pPr>
      <w:r>
        <w:rPr>
          <w:rFonts w:ascii="Times New Roman" w:hAnsi="Times New Roman" w:eastAsia="Heiti SC"/>
          <w:b/>
          <w:color w:val="000000"/>
          <w:sz w:val="24"/>
        </w:rPr>
        <w:t>（四）跨领域组合体现不同的参与路径</w:t>
      </w:r>
    </w:p>
    <w:p>
      <w:pPr>
        <w:widowControl/>
        <w:spacing w:before="0" w:after="0" w:line="360" w:lineRule="auto"/>
        <w:ind w:firstLine="420"/>
        <w:jc w:val="both"/>
      </w:pPr>
      <w:r>
        <w:rPr>
          <w:rFonts w:ascii="Times New Roman" w:hAnsi="Times New Roman" w:eastAsia="Songti SC"/>
          <w:color w:val="000000"/>
          <w:sz w:val="21"/>
        </w:rPr>
        <w:t>跨领域组合模型根据信息消费把账号分为两个领域均未参与、仅参与公共事务、仅参与明星文化和两个领域都参与四类。控制账号使用频率后，男性账号“仅参与公共事务”的预测概率比女性账号高3.81个百分点，“仅参与明星文化”的概率低1.28个百分点；两个领域都参与的概率低0.23个百分点，两个领域均未参与的概率低2.31个百分点。</w:t>
      </w:r>
    </w:p>
    <w:p>
      <w:pPr>
        <w:keepNext/>
        <w:spacing w:before="120" w:after="60"/>
        <w:jc w:val="center"/>
      </w:pPr>
      <w:r>
        <w:drawing>
          <wp:inline xmlns:a="http://schemas.openxmlformats.org/drawingml/2006/main" xmlns:pic="http://schemas.openxmlformats.org/drawingml/2006/picture">
            <wp:extent cx="5623560" cy="1758984"/>
            <wp:docPr id="5" name="Picture 5" descr="图5 两个信息领域的信息消费组合" title="图5 两个信息领域的信息消费组合"/>
            <wp:cNvGraphicFramePr>
              <a:graphicFrameLocks noChangeAspect="1"/>
            </wp:cNvGraphicFramePr>
            <a:graphic>
              <a:graphicData uri="http://schemas.openxmlformats.org/drawingml/2006/picture">
                <pic:pic>
                  <pic:nvPicPr>
                    <pic:cNvPr id="0" name="20260819_fig5_combinations.png"/>
                    <pic:cNvPicPr/>
                  </pic:nvPicPr>
                  <pic:blipFill>
                    <a:blip r:embed="rId14"/>
                    <a:stretch>
                      <a:fillRect/>
                    </a:stretch>
                  </pic:blipFill>
                  <pic:spPr>
                    <a:xfrm>
                      <a:off x="0" y="0"/>
                      <a:ext cx="5623560" cy="1758984"/>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图5 两个信息领域的信息消费组合</w:t>
      </w:r>
    </w:p>
    <w:p>
      <w:pPr>
        <w:widowControl/>
        <w:spacing w:before="0" w:after="0" w:line="360" w:lineRule="auto"/>
        <w:ind w:firstLine="420"/>
        <w:jc w:val="both"/>
      </w:pPr>
      <w:r>
        <w:rPr>
          <w:rFonts w:ascii="Times New Roman" w:hAnsi="Times New Roman" w:eastAsia="Songti SC"/>
          <w:color w:val="000000"/>
          <w:sz w:val="21"/>
        </w:rPr>
        <w:t>图5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pPr>
        <w:pStyle w:val="Heading2"/>
        <w:jc w:val="left"/>
      </w:pPr>
      <w:r>
        <w:rPr>
          <w:rFonts w:ascii="Times New Roman" w:hAnsi="Times New Roman" w:eastAsia="Heiti SC"/>
          <w:b/>
          <w:color w:val="000000"/>
          <w:sz w:val="24"/>
        </w:rPr>
        <w:t>（五）时间结构与转发延迟</w:t>
      </w:r>
    </w:p>
    <w:p>
      <w:pPr>
        <w:widowControl/>
        <w:spacing w:before="0" w:after="0" w:line="360" w:lineRule="auto"/>
        <w:ind w:firstLine="420"/>
        <w:jc w:val="both"/>
      </w:pPr>
      <w:r>
        <w:rPr>
          <w:rFonts w:ascii="Times New Roman" w:hAnsi="Times New Roman" w:eastAsia="Songti SC"/>
          <w:color w:val="000000"/>
          <w:sz w:val="21"/>
        </w:rPr>
        <w:t>参与月份比例衡量一个账号在其活跃月份中有多少月份通过来源转发参与某一领域。控制账号使用频率后，男性账号的公共事务参与月份比例高1.36个百分点，明星文化参与月份比例低0.24个百分点。逐月排除任何一个有数据的月份，公共事务中的差异始终为正，明星文化中的差异始终为负。图6所示的月度曲线也表明，两个领域的总体方向贯穿观察期，并非由单个月份完全驱动。</w:t>
      </w:r>
    </w:p>
    <w:p>
      <w:pPr>
        <w:keepNext/>
        <w:spacing w:before="120" w:after="60"/>
        <w:jc w:val="center"/>
      </w:pPr>
      <w:r>
        <w:drawing>
          <wp:inline xmlns:a="http://schemas.openxmlformats.org/drawingml/2006/main" xmlns:pic="http://schemas.openxmlformats.org/drawingml/2006/picture">
            <wp:extent cx="5623560" cy="3570719"/>
            <wp:docPr id="6" name="Picture 6" descr="图6 两个信息领域参与的月度变化" title="图6 两个信息领域参与的月度变化"/>
            <wp:cNvGraphicFramePr>
              <a:graphicFrameLocks noChangeAspect="1"/>
            </wp:cNvGraphicFramePr>
            <a:graphic>
              <a:graphicData uri="http://schemas.openxmlformats.org/drawingml/2006/picture">
                <pic:pic>
                  <pic:nvPicPr>
                    <pic:cNvPr id="0" name="20260819_fig6_monthly.png"/>
                    <pic:cNvPicPr/>
                  </pic:nvPicPr>
                  <pic:blipFill>
                    <a:blip r:embed="rId15"/>
                    <a:stretch>
                      <a:fillRect/>
                    </a:stretch>
                  </pic:blipFill>
                  <pic:spPr>
                    <a:xfrm>
                      <a:off x="0" y="0"/>
                      <a:ext cx="5623560" cy="357071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图6 两个信息领域参与的月度变化</w:t>
      </w:r>
    </w:p>
    <w:p>
      <w:pPr>
        <w:widowControl/>
        <w:spacing w:before="0" w:after="0" w:line="360" w:lineRule="auto"/>
        <w:ind w:firstLine="420"/>
        <w:jc w:val="both"/>
      </w:pPr>
      <w:r>
        <w:rPr>
          <w:rFonts w:ascii="Times New Roman" w:hAnsi="Times New Roman" w:eastAsia="Songti SC"/>
          <w:color w:val="000000"/>
          <w:sz w:val="21"/>
        </w:rPr>
        <w:t>转发延迟采用用户级中位数，避免高频账号和长尾记录主导均值。在720小时截断范围内，公共事务来源中男性账号和女性账号的用户级中位延迟分别为5.72和5.60小时，差异0.12小时，95%置信区间为[-0.20, 0.46]；明星文化来源中分别为5.10和3.80小时，男性账号慢1.31小时，95%置信区间为[0.90, 1.82]。这一结果只描述已经发生的转发，不代表女性更早看到信息，也不能说明曝光后的因果反应速度。</w:t>
      </w:r>
    </w:p>
    <w:p>
      <w:pPr>
        <w:pStyle w:val="Heading1"/>
        <w:jc w:val="left"/>
      </w:pPr>
      <w:r>
        <w:rPr>
          <w:rFonts w:ascii="Times New Roman" w:hAnsi="Times New Roman" w:eastAsia="Heiti SC"/>
          <w:b/>
          <w:color w:val="000000"/>
          <w:sz w:val="30"/>
        </w:rPr>
        <w:t>五、稳健性分析</w:t>
      </w:r>
    </w:p>
    <w:p>
      <w:pPr>
        <w:pStyle w:val="Heading2"/>
        <w:jc w:val="left"/>
      </w:pPr>
      <w:r>
        <w:rPr>
          <w:rFonts w:ascii="Times New Roman" w:hAnsi="Times New Roman" w:eastAsia="Heiti SC"/>
          <w:b/>
          <w:color w:val="000000"/>
          <w:sz w:val="24"/>
        </w:rPr>
        <w:t>（一）多规格结果的总体稳定性</w:t>
      </w:r>
    </w:p>
    <w:p>
      <w:pPr>
        <w:widowControl/>
        <w:spacing w:before="0" w:after="0" w:line="360" w:lineRule="auto"/>
        <w:ind w:firstLine="420"/>
        <w:jc w:val="both"/>
      </w:pPr>
      <w:r>
        <w:rPr>
          <w:rFonts w:ascii="Times New Roman" w:hAnsi="Times New Roman" w:eastAsia="Songti SC"/>
          <w:color w:val="000000"/>
          <w:sz w:val="21"/>
        </w:rPr>
        <w:t>稳健性分析共形成8,975个有效设定，涵盖样本、账号、词表、分母、帖子类型、极端值和时间限制等10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pPr>
        <w:widowControl/>
        <w:spacing w:before="0" w:after="0" w:line="360" w:lineRule="auto"/>
        <w:ind w:firstLine="420"/>
        <w:jc w:val="both"/>
      </w:pPr>
      <w:r>
        <w:rPr>
          <w:rFonts w:ascii="Times New Roman" w:hAnsi="Times New Roman" w:eastAsia="Songti SC"/>
          <w:color w:val="000000"/>
          <w:sz w:val="21"/>
        </w:rPr>
        <w:t>控制账号使用频率并不总是让差异缩小。公共事务信息消费中的男性优势约扩大一倍，明星文化信息消费的差异缩小36.0%，公共事务和明星文化内容表达的差异分别缩小22.4%和7.2%。账号使用频率既是需要比较的行为条件，也是平台参与本身的一部分。未调整结果描述平台实际可见结构，主要模型描述使用频率相近账号之间的差异，两者回答不同问题。</w:t>
      </w:r>
    </w:p>
    <w:p>
      <w:pPr>
        <w:pStyle w:val="Heading2"/>
        <w:jc w:val="left"/>
      </w:pPr>
      <w:r>
        <w:rPr>
          <w:rFonts w:ascii="Times New Roman" w:hAnsi="Times New Roman" w:eastAsia="Heiti SC"/>
          <w:b/>
          <w:color w:val="000000"/>
          <w:sz w:val="24"/>
        </w:rPr>
        <w:t>（二）个人账号与男女平衡样本</w:t>
      </w:r>
    </w:p>
    <w:p>
      <w:pPr>
        <w:widowControl/>
        <w:spacing w:before="0" w:after="0" w:line="360" w:lineRule="auto"/>
        <w:ind w:firstLine="420"/>
        <w:jc w:val="both"/>
      </w:pPr>
      <w:r>
        <w:rPr>
          <w:rFonts w:ascii="Times New Roman" w:hAnsi="Times New Roman" w:eastAsia="Songti SC"/>
          <w:color w:val="000000"/>
          <w:sz w:val="21"/>
        </w:rPr>
        <w:t>个人账号在本文中作为关键稳健性检验。按认证类型排除15,468个机构账号后，保留209,871个个人账号。控制账号使用频率后，个人账号中男性账号参与公共事务信息消费的概率高2.28个百分点，参与明星文化信息消费的概率低0.80个百分点；公共事务内容表达比例高3.93个百分点，明星文化内容表达比例低3.06个百分点。两种参与方式的领域距离分别为3.16和8.34个百分点。与全账号相比，个人账号中的公共事务差异明显缩小，说明机构账号放大了平台层面的公共事务分化；四项结果的方向仍然一致，说明总体结论并非完全由机构账号造成。</w:t>
      </w:r>
    </w:p>
    <w:p>
      <w:pPr>
        <w:keepNext/>
        <w:spacing w:before="100" w:after="60"/>
        <w:jc w:val="center"/>
      </w:pPr>
      <w:r>
        <w:rPr>
          <w:rFonts w:ascii="Times New Roman" w:hAnsi="Times New Roman" w:eastAsia="Songti SC"/>
          <w:b/>
          <w:color w:val="000000"/>
          <w:sz w:val="21"/>
        </w:rPr>
        <w:t>表4 关键样本稳健性结果</w:t>
      </w:r>
    </w:p>
    <w:tbl>
      <w:tblPr>
        <w:tblW w:type="dxa" w:w="9028"/>
        <w:jc w:val="center"/>
        <w:tblLayout w:type="fixed"/>
        <w:tblLook w:firstColumn="1" w:firstRow="1" w:lastColumn="0" w:lastRow="0" w:noHBand="0" w:noVBand="1" w:val="04A0"/>
      </w:tblPr>
      <w:tblGrid>
        <w:gridCol w:w="2059"/>
        <w:gridCol w:w="1152"/>
        <w:gridCol w:w="1152"/>
        <w:gridCol w:w="1152"/>
        <w:gridCol w:w="1152"/>
        <w:gridCol w:w="1152"/>
        <w:gridCol w:w="1209"/>
      </w:tblGrid>
      <w:tr>
        <w:trPr>
          <w:cantSplit/>
          <w:tblHeader w:val="true"/>
        </w:trPr>
        <w:tc>
          <w:tcPr>
            <w:tcW w:type="dxa" w:w="205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left"/>
            </w:pPr>
            <w:r>
              <w:rPr>
                <w:rFonts w:ascii="Times New Roman" w:hAnsi="Times New Roman" w:eastAsia="Songti SC"/>
                <w:b/>
                <w:color w:val="000000"/>
                <w:sz w:val="21"/>
              </w:rPr>
            </w:r>
            <w:r>
              <w:rPr>
                <w:rFonts w:ascii="Times New Roman" w:hAnsi="Times New Roman" w:eastAsia="Songti SC"/>
                <w:b/>
                <w:color w:val="000000"/>
                <w:sz w:val="21"/>
              </w:rPr>
              <w:t>样本设定</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公共事务信息消费</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明星文化信息消费</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公共事务内容表达</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明星文化内容表达</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消费领域距离</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keepNext/>
              <w:keepLines/>
              <w:spacing w:before="20" w:after="20" w:line="252" w:lineRule="auto"/>
              <w:ind w:firstLine="0"/>
              <w:jc w:val="center"/>
            </w:pPr>
            <w:r>
              <w:rPr>
                <w:rFonts w:ascii="Times New Roman" w:hAnsi="Times New Roman" w:eastAsia="Songti SC"/>
                <w:b/>
                <w:color w:val="000000"/>
                <w:sz w:val="21"/>
              </w:rPr>
            </w:r>
            <w:r>
              <w:rPr>
                <w:rFonts w:ascii="Times New Roman" w:hAnsi="Times New Roman" w:eastAsia="Songti SC"/>
                <w:b/>
                <w:color w:val="000000"/>
                <w:sz w:val="21"/>
              </w:rPr>
              <w:t>表达领域距离</w:t>
            </w:r>
          </w:p>
        </w:tc>
      </w:tr>
      <w:tr>
        <w:trPr>
          <w:cantSplit/>
        </w:trPr>
        <w:tc>
          <w:tcPr>
            <w:tcW w:type="dxa" w:w="205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全账号主要模型</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3.59</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-1.50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9.75</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-3.46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5.16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15.29</w:t>
            </w:r>
          </w:p>
        </w:tc>
      </w:tr>
      <w:tr>
        <w:trPr>
          <w:cantSplit/>
        </w:trPr>
        <w:tc>
          <w:tcPr>
            <w:tcW w:type="dxa" w:w="205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排除机构账号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2.28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-0.80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3.93</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-3.06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3.16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8.34</w:t>
            </w:r>
          </w:p>
        </w:tc>
      </w:tr>
      <w:tr>
        <w:trPr>
          <w:cantSplit/>
        </w:trPr>
        <w:tc>
          <w:tcPr>
            <w:tcW w:type="dxa" w:w="205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只保留普通个人账号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2.01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-0.54</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3.60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-2.66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2.64</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7.21</w:t>
            </w:r>
          </w:p>
        </w:tc>
      </w:tr>
      <w:tr>
        <w:trPr>
          <w:cantSplit/>
        </w:trPr>
        <w:tc>
          <w:tcPr>
            <w:tcW w:type="dxa" w:w="205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只保留认证个人账号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3.38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-1.69</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5.46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-4.48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5.26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13.61</w:t>
            </w:r>
          </w:p>
        </w:tc>
      </w:tr>
      <w:tr>
        <w:trPr>
          <w:cantSplit/>
        </w:trPr>
        <w:tc>
          <w:tcPr>
            <w:tcW w:type="dxa" w:w="205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男女1∶1匹配样本</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3.28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-1.31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9.71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-3.45</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4.66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keepNext/>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13.53</w:t>
            </w:r>
          </w:p>
        </w:tc>
      </w:tr>
      <w:tr>
        <w:trPr>
          <w:cantSplit/>
        </w:trPr>
        <w:tc>
          <w:tcPr>
            <w:tcW w:type="dxa" w:w="205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left"/>
            </w:pPr>
            <w:r>
              <w:rPr>
                <w:rFonts w:ascii="Times New Roman" w:hAnsi="Times New Roman" w:eastAsia="Songti SC"/>
                <w:b w:val="0"/>
                <w:color w:val="000000"/>
                <w:sz w:val="21"/>
              </w:rPr>
            </w:r>
            <w:r>
              <w:rPr>
                <w:rFonts w:ascii="Times New Roman" w:hAnsi="Times New Roman" w:eastAsia="Songti SC"/>
                <w:b w:val="0"/>
                <w:color w:val="000000"/>
                <w:sz w:val="21"/>
              </w:rPr>
              <w:t>排除疑似自动化或营销账号</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3.61</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-1.46</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9.72</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-3.44</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5.14</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keepLines/>
              <w:spacing w:before="20" w:after="20" w:line="252" w:lineRule="auto"/>
              <w:ind w:firstLine="0"/>
              <w:jc w:val="center"/>
            </w:pPr>
            <w:r>
              <w:rPr>
                <w:rFonts w:ascii="Times New Roman" w:hAnsi="Times New Roman" w:eastAsia="Songti SC"/>
                <w:b w:val="0"/>
                <w:color w:val="000000"/>
                <w:sz w:val="21"/>
              </w:rPr>
            </w:r>
            <w:r>
              <w:rPr>
                <w:rFonts w:ascii="Times New Roman" w:hAnsi="Times New Roman" w:eastAsia="Songti SC"/>
                <w:b w:val="0"/>
                <w:color w:val="000000"/>
                <w:sz w:val="21"/>
              </w:rPr>
              <w:t>15.27</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注：表中均为控制账号使用频率后的男性账号减女性账号差异，单位为百分点。个人账号分类依据认证类型；匹配样本包含51,815个男性账号和51,815个女性账号。</w:t>
      </w:r>
    </w:p>
    <w:p>
      <w:pPr>
        <w:keepNext/>
        <w:spacing w:before="120" w:after="60"/>
        <w:jc w:val="center"/>
      </w:pPr>
      <w:r>
        <w:drawing>
          <wp:inline xmlns:a="http://schemas.openxmlformats.org/drawingml/2006/main" xmlns:pic="http://schemas.openxmlformats.org/drawingml/2006/picture">
            <wp:extent cx="5623560" cy="3847579"/>
            <wp:docPr id="7" name="Picture 7" descr="稳健性图1 个人账号四项核心结果" title="稳健性图1 个人账号四项核心结果"/>
            <wp:cNvGraphicFramePr>
              <a:graphicFrameLocks noChangeAspect="1"/>
            </wp:cNvGraphicFramePr>
            <a:graphic>
              <a:graphicData uri="http://schemas.openxmlformats.org/drawingml/2006/picture">
                <pic:pic>
                  <pic:nvPicPr>
                    <pic:cNvPr id="0" name="20260820_v3_fig1_personal_core.png"/>
                    <pic:cNvPicPr/>
                  </pic:nvPicPr>
                  <pic:blipFill>
                    <a:blip r:embed="rId16"/>
                    <a:stretch>
                      <a:fillRect/>
                    </a:stretch>
                  </pic:blipFill>
                  <pic:spPr>
                    <a:xfrm>
                      <a:off x="0" y="0"/>
                      <a:ext cx="5623560" cy="384757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稳健性图1 个人账号四项核心结果</w:t>
      </w:r>
    </w:p>
    <w:p>
      <w:pPr>
        <w:keepNext/>
        <w:spacing w:before="120" w:after="60"/>
        <w:jc w:val="center"/>
      </w:pPr>
      <w:r>
        <w:drawing>
          <wp:inline xmlns:a="http://schemas.openxmlformats.org/drawingml/2006/main" xmlns:pic="http://schemas.openxmlformats.org/drawingml/2006/picture">
            <wp:extent cx="5623560" cy="3106271"/>
            <wp:docPr id="8" name="Picture 8" descr="稳健性图2 个人账号的领域距离" title="稳健性图2 个人账号的领域距离"/>
            <wp:cNvGraphicFramePr>
              <a:graphicFrameLocks noChangeAspect="1"/>
            </wp:cNvGraphicFramePr>
            <a:graphic>
              <a:graphicData uri="http://schemas.openxmlformats.org/drawingml/2006/picture">
                <pic:pic>
                  <pic:nvPicPr>
                    <pic:cNvPr id="0" name="20260820_v3_fig2_personal_domain_gap.png"/>
                    <pic:cNvPicPr/>
                  </pic:nvPicPr>
                  <pic:blipFill>
                    <a:blip r:embed="rId17"/>
                    <a:stretch>
                      <a:fillRect/>
                    </a:stretch>
                  </pic:blipFill>
                  <pic:spPr>
                    <a:xfrm>
                      <a:off x="0" y="0"/>
                      <a:ext cx="5623560" cy="3106271"/>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稳健性图2 个人账号的领域距离</w:t>
      </w:r>
    </w:p>
    <w:p>
      <w:pPr>
        <w:widowControl/>
        <w:spacing w:before="0" w:after="0" w:line="360" w:lineRule="auto"/>
        <w:ind w:firstLine="420"/>
        <w:jc w:val="both"/>
      </w:pPr>
      <w:r>
        <w:rPr>
          <w:rFonts w:ascii="Times New Roman" w:hAnsi="Times New Roman" w:eastAsia="Songti SC"/>
          <w:color w:val="000000"/>
          <w:sz w:val="21"/>
        </w:rPr>
        <w:t>男女1∶1匹配后，各匹配变量的标准化均值差绝对值均小于0.016，样本活动结构接近平衡。匹配结果与全样本方向一致，说明女性账号数量较多本身没有制造两个领域相反的差异。匹配只能平衡已经观察到的账号特征，不能把性别比较转化为因果估计。</w:t>
      </w:r>
    </w:p>
    <w:p>
      <w:pPr>
        <w:pStyle w:val="Heading2"/>
        <w:jc w:val="left"/>
      </w:pPr>
      <w:r>
        <w:rPr>
          <w:rFonts w:ascii="Times New Roman" w:hAnsi="Times New Roman" w:eastAsia="Heiti SC"/>
          <w:b/>
          <w:color w:val="000000"/>
          <w:sz w:val="24"/>
        </w:rPr>
        <w:t>（三）来源账号与词表敏感性</w:t>
      </w:r>
    </w:p>
    <w:p>
      <w:pPr>
        <w:widowControl/>
        <w:spacing w:before="0" w:after="0" w:line="360" w:lineRule="auto"/>
        <w:ind w:firstLine="420"/>
        <w:jc w:val="both"/>
      </w:pPr>
      <w:r>
        <w:rPr>
          <w:rFonts w:ascii="Times New Roman" w:hAnsi="Times New Roman" w:eastAsia="Songti SC"/>
          <w:color w:val="000000"/>
          <w:sz w:val="21"/>
        </w:rPr>
        <w:t>信息消费指标所使用的公共事务来源高度集中。在47个活跃公共事务来源中，第一大来源贡献全部相关转发的33.1%，前5个贡献88.4%，前10个贡献97.6%；明星文化的216个活跃来源相对分散，第一大来源、前5个和前10个分别贡献15.7%、47.5%和66.2%。逐一删除来源账号后，两个领域的主要方向保持；来源账号重抽样会改变差异幅度，说明信息消费结果对应的是一个具体且不均匀的账号集合，不能外推为所有官方媒体或全部演艺账号的平均反应。</w:t>
      </w:r>
    </w:p>
    <w:p>
      <w:pPr>
        <w:widowControl/>
        <w:spacing w:before="0" w:after="0" w:line="360" w:lineRule="auto"/>
        <w:ind w:firstLine="420"/>
        <w:jc w:val="both"/>
      </w:pPr>
      <w:r>
        <w:rPr>
          <w:rFonts w:ascii="Times New Roman" w:hAnsi="Times New Roman" w:eastAsia="Songti SC"/>
          <w:color w:val="000000"/>
          <w:sz w:val="21"/>
        </w:rPr>
        <w:t>词表检验每次随机保留80%的公共事务词条和明星姓名，重复200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pPr>
        <w:pStyle w:val="Heading2"/>
        <w:jc w:val="left"/>
      </w:pPr>
      <w:r>
        <w:rPr>
          <w:rFonts w:ascii="Times New Roman" w:hAnsi="Times New Roman" w:eastAsia="Heiti SC"/>
          <w:b/>
          <w:color w:val="000000"/>
          <w:sz w:val="24"/>
        </w:rPr>
        <w:t>（四）多重检验与结果边界</w:t>
      </w:r>
    </w:p>
    <w:p>
      <w:pPr>
        <w:widowControl/>
        <w:spacing w:before="0" w:after="0" w:line="360" w:lineRule="auto"/>
        <w:ind w:firstLine="420"/>
        <w:jc w:val="both"/>
      </w:pPr>
      <w:r>
        <w:rPr>
          <w:rFonts w:ascii="Times New Roman" w:hAnsi="Times New Roman" w:eastAsia="Songti SC"/>
          <w:color w:val="000000"/>
          <w:sz w:val="21"/>
        </w:rPr>
        <w:t>次级分析中共有258项检验具备可比较的标准误并进入错误发现率校正，其中235项在Benjamini-Hochberg校正后仍达到0.05标准。另有大量描述性或重抽样结果没有可比标准误，不进入这一统计。本文不以“通过多少显著性检验”作为结论依据；更重要的证据是预先明确的领域交互、效应大小以及跨样本和测量设定的方向稳定性。</w:t>
      </w:r>
    </w:p>
    <w:p>
      <w:pPr>
        <w:pStyle w:val="Heading1"/>
        <w:jc w:val="left"/>
      </w:pPr>
      <w:r>
        <w:rPr>
          <w:rFonts w:ascii="Times New Roman" w:hAnsi="Times New Roman" w:eastAsia="Heiti SC"/>
          <w:b/>
          <w:color w:val="000000"/>
          <w:sz w:val="30"/>
        </w:rPr>
        <w:t>六、讨论</w:t>
      </w:r>
    </w:p>
    <w:p>
      <w:pPr>
        <w:pStyle w:val="Heading2"/>
        <w:jc w:val="left"/>
      </w:pPr>
      <w:r>
        <w:rPr>
          <w:rFonts w:ascii="Times New Roman" w:hAnsi="Times New Roman" w:eastAsia="Heiti SC"/>
          <w:b/>
          <w:color w:val="000000"/>
          <w:sz w:val="24"/>
        </w:rPr>
        <w:t>（一）性别差异体现为信息领域参与结构</w:t>
      </w:r>
    </w:p>
    <w:p>
      <w:pPr>
        <w:widowControl/>
        <w:spacing w:before="0" w:after="0" w:line="360" w:lineRule="auto"/>
        <w:ind w:firstLine="420"/>
        <w:jc w:val="both"/>
      </w:pPr>
      <w:r>
        <w:rPr>
          <w:rFonts w:ascii="Times New Roman" w:hAnsi="Times New Roman" w:eastAsia="Songti SC"/>
          <w:color w:val="000000"/>
          <w:sz w:val="21"/>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pPr>
        <w:widowControl/>
        <w:spacing w:before="0" w:after="0" w:line="360" w:lineRule="auto"/>
        <w:ind w:firstLine="420"/>
        <w:jc w:val="both"/>
      </w:pPr>
      <w:r>
        <w:rPr>
          <w:rFonts w:ascii="Times New Roman" w:hAnsi="Times New Roman" w:eastAsia="Songti SC"/>
          <w:color w:val="000000"/>
          <w:sz w:val="21"/>
        </w:rPr>
        <w:t>这一发现扩展了政治兴趣性别差距研究。一般政治兴趣指标经常以国家政治和制度议题为中心，具体议题测量能够显著改变性别差距（Coffé，2013；Ferrín等，2020）。数字痕迹研究也面临相同问题：研究者选择制度化来源、公共词条或明星姓名，决定哪些行为进入“参与”的统计范围。本文通过对称比较两个领域，使测量选择及其后果变得可见。</w:t>
      </w:r>
    </w:p>
    <w:p>
      <w:pPr>
        <w:pStyle w:val="Heading2"/>
        <w:jc w:val="left"/>
      </w:pPr>
      <w:r>
        <w:rPr>
          <w:rFonts w:ascii="Times New Roman" w:hAnsi="Times New Roman" w:eastAsia="Heiti SC"/>
          <w:b/>
          <w:color w:val="000000"/>
          <w:sz w:val="24"/>
        </w:rPr>
        <w:t>（二）公开表达是性别分化更集中的位置</w:t>
      </w:r>
    </w:p>
    <w:p>
      <w:pPr>
        <w:widowControl/>
        <w:spacing w:before="0" w:after="0" w:line="360" w:lineRule="auto"/>
        <w:ind w:firstLine="420"/>
        <w:jc w:val="both"/>
      </w:pPr>
      <w:r>
        <w:rPr>
          <w:rFonts w:ascii="Times New Roman" w:hAnsi="Times New Roman" w:eastAsia="Songti SC"/>
          <w:color w:val="000000"/>
          <w:sz w:val="21"/>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谈论什么”，但不能证明某一种机制单独造成了这一现象。</w:t>
      </w:r>
    </w:p>
    <w:p>
      <w:pPr>
        <w:widowControl/>
        <w:spacing w:before="0" w:after="0" w:line="360" w:lineRule="auto"/>
        <w:ind w:firstLine="420"/>
        <w:jc w:val="both"/>
      </w:pPr>
      <w:r>
        <w:rPr>
          <w:rFonts w:ascii="Times New Roman" w:hAnsi="Times New Roman" w:eastAsia="Songti SC"/>
          <w:color w:val="000000"/>
          <w:sz w:val="21"/>
        </w:rPr>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pPr>
        <w:pStyle w:val="Heading2"/>
        <w:jc w:val="left"/>
      </w:pPr>
      <w:r>
        <w:rPr>
          <w:rFonts w:ascii="Times New Roman" w:hAnsi="Times New Roman" w:eastAsia="Heiti SC"/>
          <w:b/>
          <w:color w:val="000000"/>
          <w:sz w:val="24"/>
        </w:rPr>
        <w:t>（三）明星文化具有独立的社会组织意义</w:t>
      </w:r>
    </w:p>
    <w:p>
      <w:pPr>
        <w:widowControl/>
        <w:spacing w:before="0" w:after="0" w:line="360" w:lineRule="auto"/>
        <w:ind w:firstLine="420"/>
        <w:jc w:val="both"/>
      </w:pPr>
      <w:r>
        <w:rPr>
          <w:rFonts w:ascii="Times New Roman" w:hAnsi="Times New Roman" w:eastAsia="Songti SC"/>
          <w:color w:val="000000"/>
          <w:sz w:val="21"/>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pPr>
        <w:pStyle w:val="Heading2"/>
        <w:jc w:val="left"/>
      </w:pPr>
      <w:r>
        <w:rPr>
          <w:rFonts w:ascii="Times New Roman" w:hAnsi="Times New Roman" w:eastAsia="Heiti SC"/>
          <w:b/>
          <w:color w:val="000000"/>
          <w:sz w:val="24"/>
        </w:rPr>
        <w:t>（四）账号类型塑造平台层面的性别图景</w:t>
      </w:r>
    </w:p>
    <w:p>
      <w:pPr>
        <w:widowControl/>
        <w:spacing w:before="0" w:after="0" w:line="360" w:lineRule="auto"/>
        <w:ind w:firstLine="420"/>
        <w:jc w:val="both"/>
      </w:pPr>
      <w:r>
        <w:rPr>
          <w:rFonts w:ascii="Times New Roman" w:hAnsi="Times New Roman" w:eastAsia="Songti SC"/>
          <w:color w:val="000000"/>
          <w:sz w:val="21"/>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pPr>
        <w:pStyle w:val="Heading1"/>
        <w:jc w:val="left"/>
      </w:pPr>
      <w:r>
        <w:rPr>
          <w:rFonts w:ascii="Times New Roman" w:hAnsi="Times New Roman" w:eastAsia="Heiti SC"/>
          <w:b/>
          <w:color w:val="000000"/>
          <w:sz w:val="30"/>
        </w:rPr>
        <w:t>七、研究局限</w:t>
      </w:r>
    </w:p>
    <w:p>
      <w:pPr>
        <w:widowControl/>
        <w:spacing w:before="0" w:after="0" w:line="360" w:lineRule="auto"/>
        <w:ind w:firstLine="420"/>
        <w:jc w:val="both"/>
      </w:pPr>
      <w:r>
        <w:rPr>
          <w:rFonts w:ascii="Times New Roman" w:hAnsi="Times New Roman" w:eastAsia="Songti SC"/>
          <w:color w:val="000000"/>
          <w:sz w:val="21"/>
        </w:rPr>
        <w:t>第一，样本来自既有数据获取、账号匹配和去重流程，无法重建微博总体用户的抽样概率。本文的比例和模型结果描述数据库中的账号，不外推为微博全体用户的总体参数。</w:t>
      </w:r>
    </w:p>
    <w:p>
      <w:pPr>
        <w:widowControl/>
        <w:spacing w:before="0" w:after="0" w:line="360" w:lineRule="auto"/>
        <w:ind w:firstLine="420"/>
        <w:jc w:val="both"/>
      </w:pPr>
      <w:r>
        <w:rPr>
          <w:rFonts w:ascii="Times New Roman" w:hAnsi="Times New Roman" w:eastAsia="Songti SC"/>
          <w:color w:val="000000"/>
          <w:sz w:val="21"/>
        </w:rPr>
        <w:t>第二，平台性别字段只有男性和女性两类，可能与实际使用者不一致，也无法呈现多元性别。机构账号进一步说明，平台字段并不是透明的个人社会属性。</w:t>
      </w:r>
    </w:p>
    <w:p>
      <w:pPr>
        <w:widowControl/>
        <w:spacing w:before="0" w:after="0" w:line="360" w:lineRule="auto"/>
        <w:ind w:firstLine="420"/>
        <w:jc w:val="both"/>
      </w:pPr>
      <w:r>
        <w:rPr>
          <w:rFonts w:ascii="Times New Roman" w:hAnsi="Times New Roman" w:eastAsia="Songti SC"/>
          <w:color w:val="000000"/>
          <w:sz w:val="21"/>
        </w:rPr>
        <w:t>第三，来源名单具有历史与范围边界。公共事务来源集中于少数头部账号，演艺认证来源也不能代表全部文化生产者。结果只能解释为对本文所定义来源集合的传播。</w:t>
      </w:r>
    </w:p>
    <w:p>
      <w:pPr>
        <w:widowControl/>
        <w:spacing w:before="0" w:after="0" w:line="360" w:lineRule="auto"/>
        <w:ind w:firstLine="420"/>
        <w:jc w:val="both"/>
      </w:pPr>
      <w:r>
        <w:rPr>
          <w:rFonts w:ascii="Times New Roman" w:hAnsi="Times New Roman" w:eastAsia="Songti SC"/>
          <w:color w:val="000000"/>
          <w:sz w:val="21"/>
        </w:rPr>
        <w:t>第四，字符串命中不能自动识别支持、反对、讽刺、广告、榜单任务和偶然提及。词表重抽样能够检验词条集合敏感性，不能替代分层语境样本的人工编码和一致性评估。</w:t>
      </w:r>
    </w:p>
    <w:p>
      <w:pPr>
        <w:widowControl/>
        <w:spacing w:before="0" w:after="0" w:line="360" w:lineRule="auto"/>
        <w:ind w:firstLine="420"/>
        <w:jc w:val="both"/>
      </w:pPr>
      <w:r>
        <w:rPr>
          <w:rFonts w:ascii="Times New Roman" w:hAnsi="Times New Roman" w:eastAsia="Songti SC"/>
          <w:color w:val="000000"/>
          <w:sz w:val="21"/>
        </w:rPr>
        <w:t>第五，观察性数据无法区分兴趣、曝光、职业角色、受众想象、社群规范和算法推荐。控制账号使用频率使一般使用机会更可比，但不构成随机化控制。本文所有结果均应理解为描述性关联。</w:t>
      </w:r>
    </w:p>
    <w:p>
      <w:pPr>
        <w:widowControl/>
        <w:spacing w:before="0" w:after="0" w:line="360" w:lineRule="auto"/>
        <w:ind w:firstLine="420"/>
        <w:jc w:val="both"/>
      </w:pPr>
      <w:r>
        <w:rPr>
          <w:rFonts w:ascii="Times New Roman" w:hAnsi="Times New Roman" w:eastAsia="Songti SC"/>
          <w:color w:val="000000"/>
          <w:sz w:val="21"/>
        </w:rPr>
        <w:t>第六，2020年10月没有进入数据库。月度结果据此保持缺失，不进行插补。转发延迟只在已经发生的转发中定义，不能解释为曝光后的反应速度。</w:t>
      </w:r>
    </w:p>
    <w:p>
      <w:pPr>
        <w:pStyle w:val="Heading1"/>
        <w:jc w:val="left"/>
      </w:pPr>
      <w:r>
        <w:rPr>
          <w:rFonts w:ascii="Times New Roman" w:hAnsi="Times New Roman" w:eastAsia="Heiti SC"/>
          <w:b/>
          <w:color w:val="000000"/>
          <w:sz w:val="30"/>
        </w:rPr>
        <w:t>八、结论</w:t>
      </w:r>
    </w:p>
    <w:p>
      <w:pPr>
        <w:widowControl/>
        <w:spacing w:before="0" w:after="0" w:line="360" w:lineRule="auto"/>
        <w:ind w:firstLine="420"/>
        <w:jc w:val="both"/>
      </w:pPr>
      <w:r>
        <w:rPr>
          <w:rFonts w:ascii="Times New Roman" w:hAnsi="Times New Roman" w:eastAsia="Songti SC"/>
          <w:color w:val="000000"/>
          <w:sz w:val="21"/>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而两个领域之间的性别距离在内容表达中约为信息消费的三倍，说明性别分化更集中于公开谈论什么。</w:t>
      </w:r>
    </w:p>
    <w:p>
      <w:pPr>
        <w:widowControl/>
        <w:spacing w:before="0" w:after="0" w:line="360" w:lineRule="auto"/>
        <w:ind w:firstLine="420"/>
        <w:jc w:val="both"/>
      </w:pPr>
      <w:r>
        <w:rPr>
          <w:rFonts w:ascii="Times New Roman" w:hAnsi="Times New Roman" w:eastAsia="Songti SC"/>
          <w:color w:val="000000"/>
          <w:sz w:val="21"/>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r>
        <w:br w:type="page"/>
      </w:r>
    </w:p>
    <w:p>
      <w:pPr>
        <w:pStyle w:val="Heading1"/>
        <w:jc w:val="left"/>
      </w:pPr>
      <w:r>
        <w:rPr>
          <w:rFonts w:ascii="Times New Roman" w:hAnsi="Times New Roman" w:eastAsia="Heiti SC"/>
          <w:b/>
          <w:color w:val="000000"/>
          <w:sz w:val="30"/>
        </w:rPr>
        <w:t>参考文献</w:t>
      </w:r>
    </w:p>
    <w:p>
      <w:pPr>
        <w:widowControl/>
        <w:spacing w:before="0" w:after="60" w:line="276" w:lineRule="auto"/>
        <w:ind w:hanging="420" w:left="420"/>
        <w:jc w:val="both"/>
      </w:pPr>
      <w:r>
        <w:rPr>
          <w:rFonts w:ascii="Times New Roman" w:hAnsi="Times New Roman" w:eastAsia="Songti SC"/>
          <w:color w:val="000000"/>
          <w:sz w:val="19"/>
        </w:rPr>
        <w:t xml:space="preserve">Bennett, Linda L. M., and Stephen Earl Bennett. 1989. “Enduring Gender Differences in Political Interest: The Impact of Socialization and Political Dispositions.” </w:t>
      </w:r>
      <w:r>
        <w:rPr>
          <w:rFonts w:ascii="Times New Roman" w:hAnsi="Times New Roman" w:eastAsia="Songti SC"/>
          <w:i/>
          <w:color w:val="000000"/>
          <w:sz w:val="19"/>
        </w:rPr>
        <w:t>American Politics Quarterly</w:t>
      </w:r>
      <w:r>
        <w:rPr>
          <w:rFonts w:ascii="Times New Roman" w:hAnsi="Times New Roman" w:eastAsia="Songti SC"/>
          <w:color w:val="000000"/>
          <w:sz w:val="19"/>
        </w:rPr>
        <w:t xml:space="preserve"> 17(1): 105–122.</w:t>
      </w:r>
    </w:p>
    <w:p>
      <w:pPr>
        <w:widowControl/>
        <w:spacing w:before="0" w:after="60" w:line="276" w:lineRule="auto"/>
        <w:ind w:hanging="420" w:left="420"/>
        <w:jc w:val="both"/>
      </w:pPr>
      <w:r>
        <w:rPr>
          <w:rFonts w:ascii="Times New Roman" w:hAnsi="Times New Roman" w:eastAsia="Songti SC"/>
          <w:color w:val="000000"/>
          <w:sz w:val="19"/>
        </w:rPr>
        <w:t xml:space="preserve">Bode, Leticia. 2017. “Closing the Gap: Gender Parity in Political Engagement on Social Media.” </w:t>
      </w:r>
      <w:r>
        <w:rPr>
          <w:rFonts w:ascii="Times New Roman" w:hAnsi="Times New Roman" w:eastAsia="Songti SC"/>
          <w:i/>
          <w:color w:val="000000"/>
          <w:sz w:val="19"/>
        </w:rPr>
        <w:t>Information, Communication &amp; Society</w:t>
      </w:r>
      <w:r>
        <w:rPr>
          <w:rFonts w:ascii="Times New Roman" w:hAnsi="Times New Roman" w:eastAsia="Songti SC"/>
          <w:color w:val="000000"/>
          <w:sz w:val="19"/>
        </w:rPr>
        <w:t xml:space="preserve"> 20(4): 587–603.</w:t>
      </w:r>
    </w:p>
    <w:p>
      <w:pPr>
        <w:widowControl/>
        <w:spacing w:before="0" w:after="60" w:line="276" w:lineRule="auto"/>
        <w:ind w:hanging="420" w:left="420"/>
        <w:jc w:val="both"/>
      </w:pPr>
      <w:r>
        <w:rPr>
          <w:rFonts w:ascii="Times New Roman" w:hAnsi="Times New Roman" w:eastAsia="Songti SC"/>
          <w:color w:val="000000"/>
          <w:sz w:val="19"/>
        </w:rPr>
        <w:t xml:space="preserve">Coffé, Hilde. 2013. “Women Stay Local, Men Go National and Global? Gender Differences in Political Interest.” </w:t>
      </w:r>
      <w:r>
        <w:rPr>
          <w:rFonts w:ascii="Times New Roman" w:hAnsi="Times New Roman" w:eastAsia="Songti SC"/>
          <w:i/>
          <w:color w:val="000000"/>
          <w:sz w:val="19"/>
        </w:rPr>
        <w:t>Sex Roles</w:t>
      </w:r>
      <w:r>
        <w:rPr>
          <w:rFonts w:ascii="Times New Roman" w:hAnsi="Times New Roman" w:eastAsia="Songti SC"/>
          <w:color w:val="000000"/>
          <w:sz w:val="19"/>
        </w:rPr>
        <w:t xml:space="preserve"> 69(5–6): 323–338.</w:t>
      </w:r>
    </w:p>
    <w:p>
      <w:pPr>
        <w:widowControl/>
        <w:spacing w:before="0" w:after="60" w:line="276" w:lineRule="auto"/>
        <w:ind w:hanging="420" w:left="420"/>
        <w:jc w:val="both"/>
      </w:pPr>
      <w:r>
        <w:rPr>
          <w:rFonts w:ascii="Times New Roman" w:hAnsi="Times New Roman" w:eastAsia="Songti SC"/>
          <w:color w:val="000000"/>
          <w:sz w:val="19"/>
        </w:rPr>
        <w:t xml:space="preserve">Couldry, Nick, Sonia Livingstone, and Tim Markham. 2007. </w:t>
      </w:r>
      <w:r>
        <w:rPr>
          <w:rFonts w:ascii="Times New Roman" w:hAnsi="Times New Roman" w:eastAsia="Songti SC"/>
          <w:i/>
          <w:color w:val="000000"/>
          <w:sz w:val="19"/>
        </w:rPr>
        <w:t>Media Consumption and Public Engagement: Beyond the Presumption of Attention</w:t>
      </w:r>
      <w:r>
        <w:rPr>
          <w:rFonts w:ascii="Times New Roman" w:hAnsi="Times New Roman" w:eastAsia="Songti SC"/>
          <w:color w:val="000000"/>
          <w:sz w:val="19"/>
        </w:rPr>
        <w:t>. Basingstoke: Palgrave Macmillan.</w:t>
      </w:r>
    </w:p>
    <w:p>
      <w:pPr>
        <w:widowControl/>
        <w:spacing w:before="0" w:after="60" w:line="276" w:lineRule="auto"/>
        <w:ind w:hanging="420" w:left="420"/>
        <w:jc w:val="both"/>
      </w:pPr>
      <w:r>
        <w:rPr>
          <w:rFonts w:ascii="Times New Roman" w:hAnsi="Times New Roman"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pPr>
        <w:widowControl/>
        <w:spacing w:before="0" w:after="60" w:line="276" w:lineRule="auto"/>
        <w:ind w:hanging="420" w:left="420"/>
        <w:jc w:val="both"/>
      </w:pPr>
      <w:r>
        <w:rPr>
          <w:rFonts w:ascii="Times New Roman" w:hAnsi="Times New Roman" w:eastAsia="Songti SC"/>
          <w:color w:val="000000"/>
          <w:sz w:val="19"/>
        </w:rPr>
        <w:t xml:space="preserve">Ferrín, Mónica, Marta Fraile, Gema M. García-Albacete, and Raul Gómez. 2020. “The Gender Gap in Political Interest Revisited.” </w:t>
      </w:r>
      <w:r>
        <w:rPr>
          <w:rFonts w:ascii="Times New Roman" w:hAnsi="Times New Roman" w:eastAsia="Songti SC"/>
          <w:i/>
          <w:color w:val="000000"/>
          <w:sz w:val="19"/>
        </w:rPr>
        <w:t>International Political Science Review</w:t>
      </w:r>
      <w:r>
        <w:rPr>
          <w:rFonts w:ascii="Times New Roman" w:hAnsi="Times New Roman" w:eastAsia="Songti SC"/>
          <w:color w:val="000000"/>
          <w:sz w:val="19"/>
        </w:rPr>
        <w:t xml:space="preserve"> 41(4): 473–489.</w:t>
      </w:r>
    </w:p>
    <w:p>
      <w:pPr>
        <w:widowControl/>
        <w:spacing w:before="0" w:after="60" w:line="276" w:lineRule="auto"/>
        <w:ind w:hanging="420" w:left="420"/>
        <w:jc w:val="both"/>
      </w:pPr>
      <w:r>
        <w:rPr>
          <w:rFonts w:ascii="Times New Roman" w:hAnsi="Times New Roman" w:eastAsia="Songti SC"/>
          <w:color w:val="000000"/>
          <w:sz w:val="19"/>
        </w:rPr>
        <w:t xml:space="preserve">Fraile, Marta, and Irene Sánchez-Vítores. 2020. “Tracing the Gender Gap in Political Interest Over the Life Span: A Panel Analysis.” </w:t>
      </w:r>
      <w:r>
        <w:rPr>
          <w:rFonts w:ascii="Times New Roman" w:hAnsi="Times New Roman" w:eastAsia="Songti SC"/>
          <w:i/>
          <w:color w:val="000000"/>
          <w:sz w:val="19"/>
        </w:rPr>
        <w:t>Political Psychology</w:t>
      </w:r>
      <w:r>
        <w:rPr>
          <w:rFonts w:ascii="Times New Roman" w:hAnsi="Times New Roman" w:eastAsia="Songti SC"/>
          <w:color w:val="000000"/>
          <w:sz w:val="19"/>
        </w:rPr>
        <w:t xml:space="preserve"> 41(1): 89–106.</w:t>
      </w:r>
    </w:p>
    <w:p>
      <w:pPr>
        <w:widowControl/>
        <w:spacing w:before="0" w:after="60" w:line="276" w:lineRule="auto"/>
        <w:ind w:hanging="420" w:left="420"/>
        <w:jc w:val="both"/>
      </w:pPr>
      <w:r>
        <w:rPr>
          <w:rFonts w:ascii="Times New Roman" w:hAnsi="Times New Roman" w:eastAsia="Songti SC"/>
          <w:color w:val="000000"/>
          <w:sz w:val="19"/>
        </w:rPr>
        <w:t xml:space="preserve">Hargittai, Eszter. 2002. “Second-Level Digital Divide: Differences in People’s Online Skills.” </w:t>
      </w:r>
      <w:r>
        <w:rPr>
          <w:rFonts w:ascii="Times New Roman" w:hAnsi="Times New Roman" w:eastAsia="Songti SC"/>
          <w:i/>
          <w:color w:val="000000"/>
          <w:sz w:val="19"/>
        </w:rPr>
        <w:t>First Monday</w:t>
      </w:r>
      <w:r>
        <w:rPr>
          <w:rFonts w:ascii="Times New Roman" w:hAnsi="Times New Roman" w:eastAsia="Songti SC"/>
          <w:color w:val="000000"/>
          <w:sz w:val="19"/>
        </w:rPr>
        <w:t xml:space="preserve"> 7(4).</w:t>
      </w:r>
    </w:p>
    <w:p>
      <w:pPr>
        <w:widowControl/>
        <w:spacing w:before="0" w:after="60" w:line="276" w:lineRule="auto"/>
        <w:ind w:hanging="420" w:left="420"/>
        <w:jc w:val="both"/>
      </w:pPr>
      <w:r>
        <w:rPr>
          <w:rFonts w:ascii="Times New Roman" w:hAnsi="Times New Roman" w:eastAsia="Songti SC"/>
          <w:color w:val="000000"/>
          <w:sz w:val="19"/>
        </w:rPr>
        <w:t xml:space="preserve">He, Qijun, and Yungeng Li. 2023. “Civic Engagement Intention and the Data-Driven Fan Community.” </w:t>
      </w:r>
      <w:r>
        <w:rPr>
          <w:rFonts w:ascii="Times New Roman" w:hAnsi="Times New Roman" w:eastAsia="Songti SC"/>
          <w:i/>
          <w:color w:val="000000"/>
          <w:sz w:val="19"/>
        </w:rPr>
        <w:t>Social Media + Society</w:t>
      </w:r>
      <w:r>
        <w:rPr>
          <w:rFonts w:ascii="Times New Roman" w:hAnsi="Times New Roman" w:eastAsia="Songti SC"/>
          <w:color w:val="000000"/>
          <w:sz w:val="19"/>
        </w:rPr>
        <w:t xml:space="preserve"> 9(1).</w:t>
      </w:r>
    </w:p>
    <w:p>
      <w:pPr>
        <w:widowControl/>
        <w:spacing w:before="0" w:after="60" w:line="276" w:lineRule="auto"/>
        <w:ind w:hanging="420" w:left="420"/>
        <w:jc w:val="both"/>
      </w:pPr>
      <w:r>
        <w:rPr>
          <w:rFonts w:ascii="Times New Roman" w:hAnsi="Times New Roman" w:eastAsia="Songti SC"/>
          <w:color w:val="000000"/>
          <w:sz w:val="19"/>
        </w:rPr>
        <w:t xml:space="preserve">Koc-Michalska, Karolina, Anya Schiffrin, Anamaria Lopez, Shelley Boulianne, and Bruce Bimber. 2021. “From Online Political Posting to Mansplaining.” </w:t>
      </w:r>
      <w:r>
        <w:rPr>
          <w:rFonts w:ascii="Times New Roman" w:hAnsi="Times New Roman" w:eastAsia="Songti SC"/>
          <w:i/>
          <w:color w:val="000000"/>
          <w:sz w:val="19"/>
        </w:rPr>
        <w:t>Social Science Computer Review</w:t>
      </w:r>
      <w:r>
        <w:rPr>
          <w:rFonts w:ascii="Times New Roman" w:hAnsi="Times New Roman" w:eastAsia="Songti SC"/>
          <w:color w:val="000000"/>
          <w:sz w:val="19"/>
        </w:rPr>
        <w:t xml:space="preserve"> 39(2): 197–210.</w:t>
      </w:r>
    </w:p>
    <w:p>
      <w:pPr>
        <w:widowControl/>
        <w:spacing w:before="0" w:after="60" w:line="276" w:lineRule="auto"/>
        <w:ind w:hanging="420" w:left="420"/>
        <w:jc w:val="both"/>
      </w:pPr>
      <w:r>
        <w:rPr>
          <w:rFonts w:ascii="Times New Roman" w:hAnsi="Times New Roman" w:eastAsia="Songti SC"/>
          <w:color w:val="000000"/>
          <w:sz w:val="19"/>
        </w:rPr>
        <w:t xml:space="preserve">Prior, Markus. 2005. “News vs. Entertainment: How Increasing Media Choice Widens Gaps in Political Knowledge and Turnout.” </w:t>
      </w:r>
      <w:r>
        <w:rPr>
          <w:rFonts w:ascii="Times New Roman" w:hAnsi="Times New Roman" w:eastAsia="Songti SC"/>
          <w:i/>
          <w:color w:val="000000"/>
          <w:sz w:val="19"/>
        </w:rPr>
        <w:t>American Journal of Political Science</w:t>
      </w:r>
      <w:r>
        <w:rPr>
          <w:rFonts w:ascii="Times New Roman" w:hAnsi="Times New Roman" w:eastAsia="Songti SC"/>
          <w:color w:val="000000"/>
          <w:sz w:val="19"/>
        </w:rPr>
        <w:t xml:space="preserve"> 49(3): 577–592.</w:t>
      </w:r>
    </w:p>
    <w:p>
      <w:pPr>
        <w:widowControl/>
        <w:spacing w:before="0" w:after="60" w:line="276" w:lineRule="auto"/>
        <w:ind w:hanging="420" w:left="420"/>
        <w:jc w:val="both"/>
      </w:pPr>
      <w:r>
        <w:rPr>
          <w:rFonts w:ascii="Times New Roman" w:hAnsi="Times New Roman" w:eastAsia="Songti SC"/>
          <w:color w:val="000000"/>
          <w:sz w:val="19"/>
        </w:rPr>
        <w:t xml:space="preserve">Sen, Indira, Fabian Flöck, Katrin Weller, Bernd Weiß, and Claudia Wagner. 2021. “A Total Error Framework for Digital Traces of Human Behavior on Online Platforms.” </w:t>
      </w:r>
      <w:r>
        <w:rPr>
          <w:rFonts w:ascii="Times New Roman" w:hAnsi="Times New Roman" w:eastAsia="Songti SC"/>
          <w:i/>
          <w:color w:val="000000"/>
          <w:sz w:val="19"/>
        </w:rPr>
        <w:t>Public Opinion Quarterly</w:t>
      </w:r>
      <w:r>
        <w:rPr>
          <w:rFonts w:ascii="Times New Roman" w:hAnsi="Times New Roman" w:eastAsia="Songti SC"/>
          <w:color w:val="000000"/>
          <w:sz w:val="19"/>
        </w:rPr>
        <w:t xml:space="preserve"> 85(S1): 399–422.</w:t>
      </w:r>
    </w:p>
    <w:p>
      <w:pPr>
        <w:widowControl/>
        <w:spacing w:before="0" w:after="60" w:line="276" w:lineRule="auto"/>
        <w:ind w:hanging="420" w:left="420"/>
        <w:jc w:val="both"/>
      </w:pPr>
      <w:r>
        <w:rPr>
          <w:rFonts w:ascii="Times New Roman" w:hAnsi="Times New Roman" w:eastAsia="Songti SC"/>
          <w:color w:val="000000"/>
          <w:sz w:val="19"/>
        </w:rPr>
        <w:t xml:space="preserve">Strömbäck, Jesper, Monika Djerf-Pierre, and Adam Shehata. 2013. “The Dynamics of Political Interest and News Media Consumption.” </w:t>
      </w:r>
      <w:r>
        <w:rPr>
          <w:rFonts w:ascii="Times New Roman" w:hAnsi="Times New Roman" w:eastAsia="Songti SC"/>
          <w:i/>
          <w:color w:val="000000"/>
          <w:sz w:val="19"/>
        </w:rPr>
        <w:t>International Journal of Public Opinion Research</w:t>
      </w:r>
      <w:r>
        <w:rPr>
          <w:rFonts w:ascii="Times New Roman" w:hAnsi="Times New Roman" w:eastAsia="Songti SC"/>
          <w:color w:val="000000"/>
          <w:sz w:val="19"/>
        </w:rPr>
        <w:t xml:space="preserve"> 25(4): 414–435.</w:t>
      </w:r>
    </w:p>
    <w:p>
      <w:pPr>
        <w:widowControl/>
        <w:spacing w:before="0" w:after="60" w:line="276" w:lineRule="auto"/>
        <w:ind w:hanging="420" w:left="420"/>
        <w:jc w:val="both"/>
      </w:pPr>
      <w:r>
        <w:rPr>
          <w:rFonts w:ascii="Times New Roman" w:hAnsi="Times New Roman" w:eastAsia="Songti SC"/>
          <w:color w:val="000000"/>
          <w:sz w:val="19"/>
        </w:rPr>
        <w:t xml:space="preserve">van Deursen, Alexander J. A. M., and Jan A. G. M. van Dijk. 2014. “The Digital Divide Shifts to Differences in Usage.” </w:t>
      </w:r>
      <w:r>
        <w:rPr>
          <w:rFonts w:ascii="Times New Roman" w:hAnsi="Times New Roman" w:eastAsia="Songti SC"/>
          <w:i/>
          <w:color w:val="000000"/>
          <w:sz w:val="19"/>
        </w:rPr>
        <w:t>New Media &amp; Society</w:t>
      </w:r>
      <w:r>
        <w:rPr>
          <w:rFonts w:ascii="Times New Roman" w:hAnsi="Times New Roman" w:eastAsia="Songti SC"/>
          <w:color w:val="000000"/>
          <w:sz w:val="19"/>
        </w:rPr>
        <w:t xml:space="preserve"> 16(3): 507–526.</w:t>
      </w:r>
    </w:p>
    <w:p>
      <w:pPr>
        <w:widowControl/>
        <w:spacing w:before="0" w:after="60" w:line="276" w:lineRule="auto"/>
        <w:ind w:hanging="420" w:left="420"/>
        <w:jc w:val="both"/>
      </w:pPr>
      <w:r>
        <w:rPr>
          <w:rFonts w:ascii="Times New Roman" w:hAnsi="Times New Roman" w:eastAsia="Songti SC"/>
          <w:color w:val="000000"/>
          <w:sz w:val="19"/>
        </w:rPr>
        <w:t xml:space="preserve">Thorson, Kjerstin, Kelley Cotter, Mel Medeiros, and Chankyung Pak. 2021. “Algorithmic Inference, Political Interest, and Exposure to News and Politics on Facebook.” </w:t>
      </w:r>
      <w:r>
        <w:rPr>
          <w:rFonts w:ascii="Times New Roman" w:hAnsi="Times New Roman" w:eastAsia="Songti SC"/>
          <w:i/>
          <w:color w:val="000000"/>
          <w:sz w:val="19"/>
        </w:rPr>
        <w:t>Information, Communication &amp; Society</w:t>
      </w:r>
      <w:r>
        <w:rPr>
          <w:rFonts w:ascii="Times New Roman" w:hAnsi="Times New Roman" w:eastAsia="Songti SC"/>
          <w:color w:val="000000"/>
          <w:sz w:val="19"/>
        </w:rPr>
        <w:t xml:space="preserve"> 24(2): 183–200.</w:t>
      </w:r>
    </w:p>
    <w:p>
      <w:pPr>
        <w:widowControl/>
        <w:spacing w:before="0" w:after="60" w:line="276" w:lineRule="auto"/>
        <w:ind w:hanging="420" w:left="420"/>
        <w:jc w:val="both"/>
      </w:pPr>
      <w:r>
        <w:rPr>
          <w:rFonts w:ascii="Times New Roman" w:hAnsi="Times New Roman" w:eastAsia="Songti SC"/>
          <w:color w:val="000000"/>
          <w:sz w:val="19"/>
        </w:rPr>
        <w:t xml:space="preserve">Verba, Sidney, Nancy Burns, and Kay Lehman Schlozman. 1997. “Knowing and Caring about Politics: Gender and Political Engagement.” </w:t>
      </w:r>
      <w:r>
        <w:rPr>
          <w:rFonts w:ascii="Times New Roman" w:hAnsi="Times New Roman" w:eastAsia="Songti SC"/>
          <w:i/>
          <w:color w:val="000000"/>
          <w:sz w:val="19"/>
        </w:rPr>
        <w:t>The Journal of Politics</w:t>
      </w:r>
      <w:r>
        <w:rPr>
          <w:rFonts w:ascii="Times New Roman" w:hAnsi="Times New Roman" w:eastAsia="Songti SC"/>
          <w:color w:val="000000"/>
          <w:sz w:val="19"/>
        </w:rPr>
        <w:t xml:space="preserve"> 59(4): 1051–1072.</w:t>
      </w:r>
    </w:p>
    <w:p>
      <w:pPr>
        <w:widowControl/>
        <w:spacing w:before="0" w:after="60" w:line="276" w:lineRule="auto"/>
        <w:ind w:hanging="420" w:left="420"/>
        <w:jc w:val="both"/>
      </w:pPr>
      <w:r>
        <w:rPr>
          <w:rFonts w:ascii="Times New Roman" w:hAnsi="Times New Roman" w:eastAsia="Songti SC"/>
          <w:color w:val="000000"/>
          <w:sz w:val="19"/>
        </w:rPr>
        <w:t xml:space="preserve">Yin, Yiyi. 2020. “An Emergent Algorithmic Culture: The Data-ization of Online Fandom in China.” </w:t>
      </w:r>
      <w:r>
        <w:rPr>
          <w:rFonts w:ascii="Times New Roman" w:hAnsi="Times New Roman" w:eastAsia="Songti SC"/>
          <w:i/>
          <w:color w:val="000000"/>
          <w:sz w:val="19"/>
        </w:rPr>
        <w:t>International Journal of Cultural Studies</w:t>
      </w:r>
      <w:r>
        <w:rPr>
          <w:rFonts w:ascii="Times New Roman" w:hAnsi="Times New Roman" w:eastAsia="Songti SC"/>
          <w:color w:val="000000"/>
          <w:sz w:val="19"/>
        </w:rPr>
        <w:t xml:space="preserve"> 23(4): 475–492.</w:t>
      </w:r>
    </w:p>
    <w:p>
      <w:pPr>
        <w:widowControl/>
        <w:spacing w:before="0" w:after="60" w:line="276" w:lineRule="auto"/>
        <w:ind w:hanging="420" w:left="420"/>
        <w:jc w:val="both"/>
      </w:pPr>
      <w:r>
        <w:rPr>
          <w:rFonts w:ascii="Times New Roman" w:hAnsi="Times New Roman" w:eastAsia="Songti SC"/>
          <w:color w:val="000000"/>
          <w:sz w:val="19"/>
        </w:rPr>
        <w:t xml:space="preserve">Zhang, Qian, and Keith Negus. 2020. “East Asian Pop Music Idol Production and the Emergence of Data Fandom in China.” </w:t>
      </w:r>
      <w:r>
        <w:rPr>
          <w:rFonts w:ascii="Times New Roman" w:hAnsi="Times New Roman" w:eastAsia="Songti SC"/>
          <w:i/>
          <w:color w:val="000000"/>
          <w:sz w:val="19"/>
        </w:rPr>
        <w:t>International Journal of Cultural Studies</w:t>
      </w:r>
      <w:r>
        <w:rPr>
          <w:rFonts w:ascii="Times New Roman" w:hAnsi="Times New Roman" w:eastAsia="Songti SC"/>
          <w:color w:val="000000"/>
          <w:sz w:val="19"/>
        </w:rPr>
        <w:t xml:space="preserve"> 23(4): 493–511.</w:t>
      </w:r>
    </w:p>
    <w:p>
      <w:pPr>
        <w:widowControl/>
        <w:spacing w:before="0" w:after="60" w:line="276" w:lineRule="auto"/>
        <w:ind w:hanging="420" w:left="420"/>
        <w:jc w:val="both"/>
      </w:pPr>
      <w:r>
        <w:rPr>
          <w:rFonts w:ascii="Times New Roman" w:hAnsi="Times New Roman" w:eastAsia="Songti SC"/>
          <w:color w:val="000000"/>
          <w:sz w:val="19"/>
        </w:rPr>
        <w:t>刘太石，2025，《数字时代的中国青年文化变迁：趣味模式、社会区隔与平台化》，《社会学研究》第3期，第159-181页。</w:t>
      </w:r>
    </w:p>
    <w:p>
      <w:r>
        <w:br w:type="page"/>
      </w:r>
    </w:p>
    <w:p>
      <w:pPr>
        <w:pStyle w:val="Heading1"/>
        <w:jc w:val="left"/>
      </w:pPr>
      <w:r>
        <w:rPr>
          <w:rFonts w:ascii="Times New Roman" w:hAnsi="Times New Roman" w:eastAsia="Heiti SC"/>
          <w:b/>
          <w:color w:val="000000"/>
          <w:sz w:val="30"/>
        </w:rPr>
        <w:t>附录：稳健性图</w:t>
      </w:r>
    </w:p>
    <w:p>
      <w:pPr>
        <w:keepNext/>
        <w:spacing w:before="120" w:after="60"/>
        <w:jc w:val="center"/>
      </w:pPr>
      <w:r>
        <w:drawing>
          <wp:inline xmlns:a="http://schemas.openxmlformats.org/drawingml/2006/main" xmlns:pic="http://schemas.openxmlformats.org/drawingml/2006/picture">
            <wp:extent cx="5623560" cy="5078261"/>
            <wp:docPr id="9" name="Picture 9" descr="附录图A1 核心变量分布" title="附录图A1 核心变量分布"/>
            <wp:cNvGraphicFramePr>
              <a:graphicFrameLocks noChangeAspect="1"/>
            </wp:cNvGraphicFramePr>
            <a:graphic>
              <a:graphicData uri="http://schemas.openxmlformats.org/drawingml/2006/picture">
                <pic:pic>
                  <pic:nvPicPr>
                    <pic:cNvPr id="0" name="20260819_figA1_distributions.png"/>
                    <pic:cNvPicPr/>
                  </pic:nvPicPr>
                  <pic:blipFill>
                    <a:blip r:embed="rId18"/>
                    <a:stretch>
                      <a:fillRect/>
                    </a:stretch>
                  </pic:blipFill>
                  <pic:spPr>
                    <a:xfrm>
                      <a:off x="0" y="0"/>
                      <a:ext cx="5623560" cy="5078261"/>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附录图A1 核心变量分布</w:t>
      </w:r>
    </w:p>
    <w:p>
      <w:r>
        <w:br w:type="page"/>
      </w:r>
    </w:p>
    <w:p>
      <w:pPr>
        <w:keepNext/>
        <w:spacing w:before="120" w:after="60"/>
        <w:jc w:val="center"/>
      </w:pPr>
      <w:r>
        <w:drawing>
          <wp:inline xmlns:a="http://schemas.openxmlformats.org/drawingml/2006/main" xmlns:pic="http://schemas.openxmlformats.org/drawingml/2006/picture">
            <wp:extent cx="5623560" cy="3217693"/>
            <wp:docPr id="10" name="Picture 10" descr="附录图R1 规格曲线" title="附录图R1 规格曲线"/>
            <wp:cNvGraphicFramePr>
              <a:graphicFrameLocks noChangeAspect="1"/>
            </wp:cNvGraphicFramePr>
            <a:graphic>
              <a:graphicData uri="http://schemas.openxmlformats.org/drawingml/2006/picture">
                <pic:pic>
                  <pic:nvPicPr>
                    <pic:cNvPr id="0" name="20260819_figR1_specification_curve.png"/>
                    <pic:cNvPicPr/>
                  </pic:nvPicPr>
                  <pic:blipFill>
                    <a:blip r:embed="rId19"/>
                    <a:stretch>
                      <a:fillRect/>
                    </a:stretch>
                  </pic:blipFill>
                  <pic:spPr>
                    <a:xfrm>
                      <a:off x="0" y="0"/>
                      <a:ext cx="5623560" cy="321769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附录图R1 规格曲线</w:t>
      </w:r>
    </w:p>
    <w:p>
      <w:r>
        <w:br w:type="page"/>
      </w:r>
    </w:p>
    <w:p>
      <w:pPr>
        <w:keepNext/>
        <w:spacing w:before="120" w:after="60"/>
        <w:jc w:val="center"/>
      </w:pPr>
      <w:r>
        <w:drawing>
          <wp:inline xmlns:a="http://schemas.openxmlformats.org/drawingml/2006/main" xmlns:pic="http://schemas.openxmlformats.org/drawingml/2006/picture">
            <wp:extent cx="5623560" cy="3005543"/>
            <wp:docPr id="11" name="Picture 11" descr="附录图R2 各类稳健性检验的方向保持率" title="附录图R2 各类稳健性检验的方向保持率"/>
            <wp:cNvGraphicFramePr>
              <a:graphicFrameLocks noChangeAspect="1"/>
            </wp:cNvGraphicFramePr>
            <a:graphic>
              <a:graphicData uri="http://schemas.openxmlformats.org/drawingml/2006/picture">
                <pic:pic>
                  <pic:nvPicPr>
                    <pic:cNvPr id="0" name="20260819_figR2_direction_by_family.png"/>
                    <pic:cNvPicPr/>
                  </pic:nvPicPr>
                  <pic:blipFill>
                    <a:blip r:embed="rId20"/>
                    <a:stretch>
                      <a:fillRect/>
                    </a:stretch>
                  </pic:blipFill>
                  <pic:spPr>
                    <a:xfrm>
                      <a:off x="0" y="0"/>
                      <a:ext cx="5623560" cy="300554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附录图R2 各类稳健性检验的方向保持率</w:t>
      </w:r>
    </w:p>
    <w:p>
      <w:r>
        <w:br w:type="page"/>
      </w:r>
    </w:p>
    <w:p>
      <w:pPr>
        <w:keepNext/>
        <w:spacing w:before="120" w:after="60"/>
        <w:jc w:val="center"/>
      </w:pPr>
      <w:r>
        <w:drawing>
          <wp:inline xmlns:a="http://schemas.openxmlformats.org/drawingml/2006/main" xmlns:pic="http://schemas.openxmlformats.org/drawingml/2006/picture">
            <wp:extent cx="5623560" cy="2884967"/>
            <wp:docPr id="12" name="Picture 12" descr="附录图R3 高影响规格与结果变化" title="附录图R3 高影响规格与结果变化"/>
            <wp:cNvGraphicFramePr>
              <a:graphicFrameLocks noChangeAspect="1"/>
            </wp:cNvGraphicFramePr>
            <a:graphic>
              <a:graphicData uri="http://schemas.openxmlformats.org/drawingml/2006/picture">
                <pic:pic>
                  <pic:nvPicPr>
                    <pic:cNvPr id="0" name="20260819_figR3_influence.png"/>
                    <pic:cNvPicPr/>
                  </pic:nvPicPr>
                  <pic:blipFill>
                    <a:blip r:embed="rId21"/>
                    <a:stretch>
                      <a:fillRect/>
                    </a:stretch>
                  </pic:blipFill>
                  <pic:spPr>
                    <a:xfrm>
                      <a:off x="0" y="0"/>
                      <a:ext cx="5623560" cy="2884967"/>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附录图R3 高影响规格与结果变化</w:t>
      </w:r>
    </w:p>
    <w:p>
      <w:r>
        <w:br w:type="page"/>
      </w:r>
    </w:p>
    <w:p>
      <w:pPr>
        <w:keepNext/>
        <w:spacing w:before="120" w:after="60"/>
        <w:jc w:val="center"/>
      </w:pPr>
      <w:r>
        <w:drawing>
          <wp:inline xmlns:a="http://schemas.openxmlformats.org/drawingml/2006/main" xmlns:pic="http://schemas.openxmlformats.org/drawingml/2006/picture">
            <wp:extent cx="5623560" cy="2350028"/>
            <wp:docPr id="13" name="Picture 13" descr="附录图R4 控制账号使用频率前后的变化" title="附录图R4 控制账号使用频率前后的变化"/>
            <wp:cNvGraphicFramePr>
              <a:graphicFrameLocks noChangeAspect="1"/>
            </wp:cNvGraphicFramePr>
            <a:graphic>
              <a:graphicData uri="http://schemas.openxmlformats.org/drawingml/2006/picture">
                <pic:pic>
                  <pic:nvPicPr>
                    <pic:cNvPr id="0" name="20260819_figR4_attenuation.png"/>
                    <pic:cNvPicPr/>
                  </pic:nvPicPr>
                  <pic:blipFill>
                    <a:blip r:embed="rId22"/>
                    <a:stretch>
                      <a:fillRect/>
                    </a:stretch>
                  </pic:blipFill>
                  <pic:spPr>
                    <a:xfrm>
                      <a:off x="0" y="0"/>
                      <a:ext cx="5623560" cy="2350028"/>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附录图R4 控制账号使用频率前后的变化</w:t>
      </w:r>
    </w:p>
    <w:p>
      <w:r>
        <w:br w:type="page"/>
      </w:r>
    </w:p>
    <w:p>
      <w:pPr>
        <w:keepNext/>
        <w:spacing w:before="120" w:after="60"/>
        <w:jc w:val="center"/>
      </w:pPr>
      <w:r>
        <w:drawing>
          <wp:inline xmlns:a="http://schemas.openxmlformats.org/drawingml/2006/main" xmlns:pic="http://schemas.openxmlformats.org/drawingml/2006/picture">
            <wp:extent cx="5623560" cy="2924054"/>
            <wp:docPr id="14" name="Picture 14" descr="附录图R5 词表80%重抽样结果" title="附录图R5 词表80%重抽样结果"/>
            <wp:cNvGraphicFramePr>
              <a:graphicFrameLocks noChangeAspect="1"/>
            </wp:cNvGraphicFramePr>
            <a:graphic>
              <a:graphicData uri="http://schemas.openxmlformats.org/drawingml/2006/picture">
                <pic:pic>
                  <pic:nvPicPr>
                    <pic:cNvPr id="0" name="20260819_figR5_vocabulary_resampling.png"/>
                    <pic:cNvPicPr/>
                  </pic:nvPicPr>
                  <pic:blipFill>
                    <a:blip r:embed="rId23"/>
                    <a:stretch>
                      <a:fillRect/>
                    </a:stretch>
                  </pic:blipFill>
                  <pic:spPr>
                    <a:xfrm>
                      <a:off x="0" y="0"/>
                      <a:ext cx="5623560" cy="2924054"/>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附录图R5 词表80%重抽样结果</w:t>
      </w:r>
    </w:p>
    <w:p>
      <w:r>
        <w:br w:type="page"/>
      </w:r>
    </w:p>
    <w:p>
      <w:pPr>
        <w:keepNext/>
        <w:spacing w:before="120" w:after="60"/>
        <w:jc w:val="center"/>
      </w:pPr>
      <w:r>
        <w:drawing>
          <wp:inline xmlns:a="http://schemas.openxmlformats.org/drawingml/2006/main" xmlns:pic="http://schemas.openxmlformats.org/drawingml/2006/picture">
            <wp:extent cx="5623560" cy="3019146"/>
            <wp:docPr id="15" name="Picture 15" descr="附录图R6 来源账号集中度与逐一删除结果" title="附录图R6 来源账号集中度与逐一删除结果"/>
            <wp:cNvGraphicFramePr>
              <a:graphicFrameLocks noChangeAspect="1"/>
            </wp:cNvGraphicFramePr>
            <a:graphic>
              <a:graphicData uri="http://schemas.openxmlformats.org/drawingml/2006/picture">
                <pic:pic>
                  <pic:nvPicPr>
                    <pic:cNvPr id="0" name="20260819_figR6_accounts.png"/>
                    <pic:cNvPicPr/>
                  </pic:nvPicPr>
                  <pic:blipFill>
                    <a:blip r:embed="rId24"/>
                    <a:stretch>
                      <a:fillRect/>
                    </a:stretch>
                  </pic:blipFill>
                  <pic:spPr>
                    <a:xfrm>
                      <a:off x="0" y="0"/>
                      <a:ext cx="5623560" cy="3019146"/>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附录图R6 来源账号集中度与逐一删除结果</w:t>
      </w:r>
    </w:p>
    <w:p>
      <w:r>
        <w:br w:type="page"/>
      </w:r>
    </w:p>
    <w:p>
      <w:pPr>
        <w:keepNext/>
        <w:spacing w:before="120" w:after="60"/>
        <w:jc w:val="center"/>
      </w:pPr>
      <w:r>
        <w:drawing>
          <wp:inline xmlns:a="http://schemas.openxmlformats.org/drawingml/2006/main" xmlns:pic="http://schemas.openxmlformats.org/drawingml/2006/picture">
            <wp:extent cx="5623560" cy="2335116"/>
            <wp:docPr id="16" name="Picture 16" descr="附录图R7 次级检验的错误发现率校正" title="附录图R7 次级检验的错误发现率校正"/>
            <wp:cNvGraphicFramePr>
              <a:graphicFrameLocks noChangeAspect="1"/>
            </wp:cNvGraphicFramePr>
            <a:graphic>
              <a:graphicData uri="http://schemas.openxmlformats.org/drawingml/2006/picture">
                <pic:pic>
                  <pic:nvPicPr>
                    <pic:cNvPr id="0" name="20260819_figR7_fdr.png"/>
                    <pic:cNvPicPr/>
                  </pic:nvPicPr>
                  <pic:blipFill>
                    <a:blip r:embed="rId25"/>
                    <a:stretch>
                      <a:fillRect/>
                    </a:stretch>
                  </pic:blipFill>
                  <pic:spPr>
                    <a:xfrm>
                      <a:off x="0" y="0"/>
                      <a:ext cx="5623560" cy="2335116"/>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附录图R7 次级检验的错误发现率校正</w:t>
      </w:r>
    </w:p>
    <w:sectPr w:rsidR="00FC693F" w:rsidRPr="0006063C" w:rsidSect="00034616">
      <w:footerReference w:type="default" r:id="rId9"/>
      <w:pgSz w:w="11906" w:h="16838"/>
      <w:pgMar w:top="1440" w:right="1361" w:bottom="1440" w:left="136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ongti SC"/>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ascii="Times New Roman" w:hAnsi="Times New Roman"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Heiti S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Songti SC"/>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
  <cp:revision>1</cp:revision>
  <dcterms:created xsi:type="dcterms:W3CDTF">2013-12-23T23:15:00Z</dcterms:created>
  <dcterms:modified xsi:type="dcterms:W3CDTF">2013-12-23T23:15:00Z</dcterms:modified>
  <cp:category/>
</cp:coreProperties>
</file>