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20" w:after="240"/>
        <w:ind w:firstLine="0"/>
        <w:jc w:val="center"/>
      </w:pPr>
      <w:r>
        <w:rPr>
          <w:rFonts w:ascii="黑体" w:hAnsi="黑体" w:eastAsia="黑体"/>
          <w:b/>
          <w:sz w:val="44"/>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03DB5F10"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平均概率为14.15%，显著高于女性账号的10.52%；女性账号参与明星文化信息消费的平均概率为6.93%，显著高于男性账号的5.40%。在内容表达方面，男性账号发布的公共事务内容比例约为女性账号的2.36倍，女性账号发布的明星文化内容比例约为男性账号的2.27倍，两项差异均达到统计显著水平。个人账号、男女平衡样本、极端值处理、观察月份、来源账号选择和词表构造等稳健性分析均得到一致的领域方向。研究表明，网络普及之后的数字性别差异同时体现于参与领域和参与方式：男性账号相对偏向公共事务领域，女性账号相对偏向明星文化领域。</w:t>
      </w:r>
    </w:p>
    <w:p w14:paraId="43A50486" w14:textId="4633FB65"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w:t>
      </w:r>
      <w:r>
        <w:rPr>
          <w:rFonts w:eastAsia="Songti SC"/>
          <w:color w:val="000000"/>
          <w:lang w:eastAsia="zh-CN"/>
        </w:rPr>
        <w:lastRenderedPageBreak/>
        <w:t>平台的信息领域。进一步说，转发某类来源与公开谈论某类议题也不是同一种行为，前者留下信息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2020年微博225,339个账号及其146,811,818条帖子，在同一批账号和同一观察期内形成四项相互对应的测量，进而比较不同性别账号在两个信息领域和两种参与方式中的参与特征。</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8126907"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55540FA7"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4E958E8"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4D6C43">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w:t>
      </w:r>
    </w:p>
    <w:p w14:paraId="0D729C3D" w14:textId="77777777" w:rsidR="004D6C43" w:rsidRDefault="00000000">
      <w:pPr>
        <w:spacing w:before="120" w:after="240"/>
        <w:jc w:val="both"/>
        <w:rPr>
          <w:lang w:eastAsia="zh-CN"/>
        </w:rPr>
      </w:pPr>
      <w:r>
        <w:rPr>
          <w:rFonts w:eastAsia="Songti SC"/>
          <w:color w:val="000000"/>
          <w:lang w:eastAsia="zh-CN"/>
        </w:rPr>
        <w:t>第一类数据为购自第三方数据公司的大规模微博数据，包含微博正文、发帖账号、原帖与转发账号、发布时间和账号认证资料。该公司采用每日随机关键词方式采集公开微博，日均约3000万条。本文使用的原始帖子文件覆盖2020年1-9月和11-12月。</w:t>
      </w:r>
    </w:p>
    <w:p w14:paraId="0D729C3D" w14:textId="77777777" w:rsidR="004D6C43" w:rsidRDefault="00000000">
      <w:pPr>
        <w:spacing w:before="120" w:after="240"/>
        <w:jc w:val="both"/>
        <w:rPr>
          <w:lang w:eastAsia="zh-CN"/>
        </w:rPr>
      </w:pPr>
      <w:r>
        <w:rPr>
          <w:rFonts w:eastAsia="Songti SC"/>
          <w:color w:val="000000"/>
          <w:lang w:eastAsia="zh-CN"/>
        </w:rPr>
        <w:t>第二类数据为Weibo-COV 2.0公开的2000万微博活跃账号资料库（Hu等，2020；项目主页：https://github.com/nghuyong/weibo-cov），包含账号ID、性别、地区、生日、粉丝数和会员等级等资料。本文以账号ID匹配两类数据，并对跨文件重复帖子进行去重，最终得到225,339个账号及其发布的146,811,818条帖子，其中男性账号51,836个，女性账号173,503个。</w:t>
      </w:r>
    </w:p>
    <w:p w14:paraId="00E08A3C" w14:textId="77777777" w:rsidR="004D6C43" w:rsidRDefault="00000000">
      <w:pPr>
        <w:spacing w:before="120" w:after="240"/>
        <w:jc w:val="both"/>
        <w:rPr>
          <w:lang w:eastAsia="zh-CN"/>
        </w:rPr>
      </w:pPr>
      <w:r>
        <w:rPr>
          <w:rFonts w:eastAsia="Songti SC"/>
          <w:color w:val="000000"/>
          <w:lang w:eastAsia="zh-CN"/>
        </w:rPr>
        <w:t>主分析以账号为基本单位，将每个账号的帖子和转发记录汇总为信息消费、内容表达和活跃程度指标。月份分析以账号-月份为单位，并对同一账号的重复观察使用聚类标准误。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151CA53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51CA53D"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2025版互联网新闻信息稿源单位名单确定，涵盖中央新闻单位、中央重点新闻网站、政府发布平台和地方新闻单位等类别。将候选单位名称与微博账号资料进行匹配后，共识别54个官方媒体或政府发布账号，其中47个账号在2020年匹配样本中至少产生一条有效转发记录，构成公共事务来源集合。</w:t>
      </w:r>
    </w:p>
    <w:p w14:paraId="151CA53D"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演员”“歌手”“艺人”“主唱”“偶像”“乐队”“歌星”“唱作人”“导演”“童星”或“音乐人”的账号进入候选集合，清理后共有216个账号在2020年匹配样本中产生有效转发记录，构成明星文化来源集合。</w:t>
      </w:r>
    </w:p>
    <w:p w14:paraId="151CA53D" w14:textId="77777777" w:rsidR="004D6C43" w:rsidRDefault="00000000">
      <w:pPr>
        <w:spacing w:before="120" w:after="240"/>
        <w:jc w:val="both"/>
        <w:rPr>
          <w:lang w:eastAsia="zh-CN"/>
        </w:rPr>
      </w:pPr>
      <w:r>
        <w:rPr>
          <w:rFonts w:eastAsia="Songti SC"/>
          <w:color w:val="000000"/>
          <w:lang w:eastAsia="zh-CN"/>
        </w:rPr>
        <w:t>每条转发记录按照原帖作者的账号ID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3C214FC8" w14:textId="77777777" w:rsidR="004D6C43" w:rsidRDefault="00000000">
      <w:pPr>
        <w:spacing w:before="120" w:after="240"/>
        <w:jc w:val="both"/>
        <w:rPr>
          <w:lang w:eastAsia="zh-CN"/>
        </w:rPr>
      </w:pPr>
      <w:r>
        <w:rPr>
          <w:rFonts w:eastAsia="Songti SC"/>
          <w:color w:val="000000"/>
          <w:lang w:eastAsia="zh-CN"/>
        </w:rPr>
        <w:t>公共事务词表包含816个经人工审核的词条，明星词表包含535个经人工审核的姓名。词条识别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图2和表2将三组嵌套模型分别标为M0、M1和M2。M0为未调整模型，只加入账号性别，呈现男性账号与女性账号在平台中实际观察到的差异。M1为活跃度调整模型，在账号性别之外加入经log(1+x)转换的全年发帖数和转发数，以及活跃天数和活跃月份，用于比较平台使用程度相近的账号。M1使用各项结果对应的全部可用样本，是本文报告核心结果的主要模型。M2为账号资料扩展模型，在M1的基础上进一步加入认证状态、经log(1+x)转换的粉丝数和关注数，以及地区分类变量，呈现资料完整账号中的性别差异。三组模型的变量设定和样本量在结果表注中同时报告。</w:t>
      </w:r>
    </w:p>
    <w:p w14:paraId="7A1D84BB" w14:textId="77777777" w:rsidR="004D6C43" w:rsidRDefault="00000000">
      <w:pPr>
        <w:spacing w:before="120" w:after="240"/>
        <w:jc w:val="both"/>
        <w:rPr>
          <w:lang w:eastAsia="zh-CN"/>
        </w:rPr>
      </w:pPr>
      <w:r>
        <w:rPr>
          <w:rFonts w:eastAsia="Songti SC"/>
          <w:color w:val="000000"/>
          <w:lang w:eastAsia="zh-CN"/>
        </w:rPr>
        <w:t>M0、M1和M2均用于估计四项核心结果。是否参与某类信息消费使用Logit模型，并报告概率尺度上的平均边际效应；领域来源转发比例、内容比例和参与月份比例使用分数Logit，并采用稳健协方差。差异均按“男性账号减女性账号”计算，正值表示男性账号更高，负值表示女性账号更高。</w:t>
      </w:r>
    </w:p>
    <w:p w14:paraId="5979F377" w14:textId="77777777" w:rsidR="004D6C43" w:rsidRDefault="00000000">
      <w:pPr>
        <w:spacing w:before="120" w:after="240"/>
        <w:jc w:val="both"/>
        <w:rPr>
          <w:lang w:eastAsia="zh-CN"/>
        </w:rPr>
      </w:pPr>
      <w:r>
        <w:rPr>
          <w:rFonts w:eastAsia="Songti SC"/>
          <w:color w:val="000000"/>
          <w:lang w:eastAsia="zh-CN"/>
        </w:rPr>
        <w:t>为直接比较同一种参与方式在两个领域中的性别差异，分析将每个账号展开为公共事务和明星文化两行，拟合性别、领域及其交互项，并使用按账号聚类的广义估计方程。核心估计量为：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1呈现平台中实际观察到的四项核心结果。在信息消费方面，男性账号中有12.66%至少转发过一次公共事务来源，女性账号为10.86%；男性账号中有4.81%至少转发过一次明星文化来源，女性账号为7.16%。在内容表达方面，男性账号的公共事务帖子比例平均为20.43%，女性账号为7.87%；男性账号的明星文化帖子比例为3.72%，女性账号为7.44%。两个领域的性别差异方向相反，表明男性账号和女性账号的信息参与具有清晰的领域结构。</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M1进一步比较发帖量、转发量和活跃时间相近的账号。表2显示，在信息消费方面，男性账号参与公共事务领域的概率比女性账号高3.59个百分点，参与明星文化领域的概率低1.50个百分点；在内容表达方面，男性账号的公共事务内容比例比女性账号高9.75个百分点，明星文化内容比例低3.46个百分点。四个置信区间均未跨越零。M2在资料完整账号中得到相同的领域方向。</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M0（未调整模型）</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M1（活跃度调整模型，主要模型）</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M2（账号资料扩展模型）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95%置信区间。M0只包含账号性别；M1加入经log(1+x)转换的全年发帖数和转发数、活跃天数及活跃月份；M2进一步加入认证状态、经log(1+x)转换的粉丝数和关注数及地区分类变量。M0和M1的信息消费样本量为225,339，内容表达样本量为224,302；M2分别为155,977和155,230。</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1.80个百分点扩大到3.59个百分点，反映女性账号较高的总体转发量与未调整差异之间的关系；公共事务内容表达的差异由12.56个百分点缩小到9.75个百分点，反映总体发帖结构与内容差异之间的关系。账号使用频率与估计幅度密切相关，而性别化的领域配置在平台使用程度相近的账号中依然清晰。</w:t>
      </w:r>
    </w:p>
    <w:p w14:paraId="30D812D5"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6C574314" w14:textId="77777777" w:rsidR="004D6C43" w:rsidRDefault="00000000">
      <w:pPr>
        <w:spacing w:before="120" w:after="240"/>
        <w:jc w:val="both"/>
        <w:rPr>
          <w:lang w:eastAsia="zh-CN"/>
        </w:rPr>
      </w:pPr>
      <w:r>
        <w:rPr>
          <w:rFonts w:eastAsia="Songti SC"/>
          <w:color w:val="000000"/>
          <w:lang w:eastAsia="zh-CN"/>
        </w:rPr>
        <w:t>图3把两个领域放入同一交互模型，检验同一种参与方式中的性别差异如何随领域变化。控制账号使用频率后，信息消费中的领域距离为5.16个百分点，95%置信区间为[4.78, 5.55]；内容表达中的领域距离为15.29个百分点，95%置信区间为[15.04, 15.54]。两项结果都显示，从公共事务领域转向明星文化领域时，男性账号相对于女性账号的参与位置发生显著变化。</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M0（未调整模型）</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M1（活跃度调整模型，主要模型）</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M2（账号资料扩展模型）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0.27个百分点，明星文化来源转发占比的性别差异为0.002个百分点，置信区间跨越零。与此同时，公共事务和明星文化的内容表达比例分别相差9.75和-3.46个百分点。最低参与门槛、持续传播和内容表达分别刻画平台参与的不同层面。</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5说明，主要差异集中在账号通过信息消费参与哪一个领域。只参与公共事务的情况更偏向男性账号，只参与明星文化的情况更偏向女性账号，两类账号也都存在跨领域参与。内容表达比例的相关分析显示，控制账号使用频率后，男性账号的两个领域呈弱负相关，女性账号呈弱正相关。性别化的信息领域结构由多种参与组合共同构成。</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转发延迟采用用户级中位数，以平衡高频账号和长尾记录的影响。在720小时截断范围内，公共事务来源中男性账号和女性账号的用户级中位延迟分别为5.72和5.60小时，差异0.12小时，95%置信区间为[-0.20, 0.46]；明星文化来源中分别为5.10和3.80小时，男性账号慢1.31小时，95%置信区间为[0.90, 1.82]。转发延迟呈现已发生转发事件的时间结构。</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0E66849F"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15,468个机构账号后，保留209,871个个人账号。控制账号使用频率后，个人账号中男性账号参与公共事务信息消费的概率高2.28个百分点，参与明星文化信息消费的概率低0.80个百分点；公共事务内容表达比例高3.93个百分点，明星文化内容表达比例低3.06个百分点。两种参与方式的领域距离分别为3.16和8.34个百分点。与全账号相比，个人账号中的公共事务差异明显缩小，显示机构账号强化了平台层面的公共事务分化；四项结果继续保持相同方向。</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男女1∶1匹配后，各匹配变量的标准化均值差绝对值均小于0.016，样本活动结构接近平衡。匹配结果与全样本方向一致，表明两个领域相反的性别方向在男女等量且活动结构相近的样本中继续存在。</w:t>
      </w:r>
    </w:p>
    <w:p>
      <w:pPr/>
      <w:r>
        <w:t>此外，本文从女性账号中重复200次抽取与男性账号等量的样本，四项结果在全部重复抽样中均保持主要模型的方向。排除总体活动量或日均发帖量位于合并样本99.9%分位数以上的疑似自动化或营销账号后，四项差异分别为3.61、-1.46、9.72和-3.44个百分点，与M1结果接近。</w:t>
      </w:r>
    </w:p>
    <w:p w14:paraId="696BB796"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646ED7DF"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95%和99%分位数对发帖数、转发数、活跃天数和活跃月份进行上尾缩尾处理；随后按发帖数与转发数之和，分别删除活动量最高的1%和5%账号。四种处理下，公共事务信息消费的性别差异介于3.25至3.63个百分点，明星文化信息消费介于-1.50至-1.07个百分点，公共事务内容表达介于9.56至9.85个百分点，明星文化内容表达介于-3.46至-3.17个百分点。极端活跃账号会改变估计幅度，两个领域的性别方向保持一致。</w:t>
      </w:r>
    </w:p>
    <w:p w14:paraId="696BB796"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0B5C72D0"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9月，并将样本限制为至少活跃3个月或6个月的账号。在这些设定下，公共事务信息消费的性别差异介于2.33至3.84个百分点，明星文化信息消费介于-1.66至-0.98个百分点，公共事务内容表达介于9.71至10.17个百分点，明星文化内容表达介于-3.65至-3.42个百分点。逐月排除检验同样显示，公共事务信息消费始终为男性账号更高，明星文化信息消费始终为女性账号更高。</w:t>
      </w:r>
    </w:p>
    <w:p w14:paraId="74AD3F25"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355C6760"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信息消费的主要指标以全体同性别账号为分母。将样本改为观察期内至少发生过一次转发的账号后，公共事务与明星文化信息消费的性别差异分别为3.74和-1.57个百分点，与M1的3.59和-1.50个百分点接近。</w:t>
      </w:r>
    </w:p>
    <w:p w14:paraId="74AD3F25"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pPr/>
      <w: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11.05和-4.85个百分点；纳入所有含文字的帖子时，两项差异分别为7.35和-2.93个百分点。仅使用没有新增文字的纯转发帖时，两项差异均接近零，表明性别化的内容差异集中于账号实际写下的文字。不同测量口径的完整结果见附录图R1至R3。</w:t>
      </w:r>
    </w:p>
    <w:p>
      <w:pPr>
        <w:pStyle w:val="21"/>
      </w:pPr>
      <w:r>
        <w:rPr>
          <w:rFonts w:ascii="Times New Roman" w:eastAsia="Heiti SC" w:hAnsi="Times New Roman"/>
          <w:lang w:eastAsia="zh-CN"/>
        </w:rPr>
        <w:t>（六）来源账号检验</w:t>
      </w:r>
    </w:p>
    <w:p>
      <w:pPr/>
      <w:r>
        <w:t>信息消费指标所使用的公共事务来源高度集中。在47个活跃公共事务来源中，第一大来源贡献全部相关转发的33.1%，前5个贡献88.4%，前10个贡献97.6%；明星文化的216个活跃来源相对分散，第一大来源、前5个和前10个分别贡献15.7%、47.5%和66.2%。来源账号检验包括逐一删除每个活跃来源、依次排除转发贡献最高的1个、5个和10个来源、只保留核心全国性媒体、按演艺身份关键词逐类删除明星账号，以及对来源集合进行200次重抽样。所有确定性删减设定均保持M1的领域方向；200次来源重抽样中，公共事务信息消费全部保持男性账号更高，明星文化信息消费有198次保持女性账号更高。来源构成会影响差异幅度，但相反的领域方向在绝大多数来源组合中继续出现。详细分布见附录图R6。</w:t>
      </w:r>
    </w:p>
    <w:p>
      <w:pPr>
        <w:pStyle w:val="21"/>
      </w:pPr>
      <w:r>
        <w:rPr>
          <w:rFonts w:ascii="Times New Roman" w:eastAsia="Heiti SC" w:hAnsi="Times New Roman"/>
          <w:lang w:eastAsia="zh-CN"/>
        </w:rPr>
        <w:t>（七）内容词表检验</w:t>
      </w:r>
    </w:p>
    <w:p>
      <w:pPr/>
      <w:r>
        <w:t>词表检验每次随机保留80%的公共事务词条和明星姓名，重复200次，并分别检验删除嵌套词条和删除少于3个字的短词条。全部词表设定都保持公共事务内容中的男性优势和明星文化内容中的女性优势。附录图R5显示，词表重抽样会改变估计幅度，主要方向由较广泛的词条集合共同形成。</w:t>
      </w:r>
    </w:p>
    <w:p>
      <w:pPr>
        <w:pStyle w:val="21"/>
      </w:pPr>
      <w:r>
        <w:rPr>
          <w:rFonts w:ascii="Times New Roman" w:eastAsia="Heiti SC" w:hAnsi="Times New Roman"/>
          <w:lang w:eastAsia="zh-CN"/>
        </w:rPr>
        <w:t>（八）多重检验校正</w:t>
      </w:r>
    </w:p>
    <w:p>
      <w:pPr/>
      <w:r>
        <w:t>对次级分析进行Benjamini-Hochberg错误发现率校正后，主要结果及大多数次级结果仍达到0.05标准。多重检验校正没有改变两个领域中性别差异的基本方向，相关结果见附录图R7。</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3EE28144"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1285F69B"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798973DD"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eibo-COV账号资料匹配形成，研究对象是完成匹配的225,339个微博账号。全账号样本同时包含个人账号与机构账号，个人账号分析进一步呈现以个人使用者为主体的结果。</w:t>
      </w:r>
    </w:p>
    <w:p w14:paraId="292ED65B" w14:textId="77777777" w:rsidR="004D6C43" w:rsidRDefault="00000000">
      <w:pPr>
        <w:spacing w:before="120" w:after="240"/>
        <w:jc w:val="both"/>
        <w:rPr>
          <w:lang w:eastAsia="zh-CN"/>
        </w:rPr>
      </w:pPr>
      <w:r>
        <w:rPr>
          <w:rFonts w:eastAsia="Songti SC"/>
          <w:color w:val="000000"/>
          <w:lang w:eastAsia="zh-CN"/>
        </w:rPr>
        <w:t>第二，公共事务信息消费由47个制度化来源账号界定，明星文化信息消费由216个演艺认证账号界定；内容表达则由公共事务词表和明星姓名词表界定。来源删减和词表重抽样检验了这些测量集合的稳定性，后续研究可通过扩展来源范围和分层人工编码继续完善领域测量。</w:t>
      </w:r>
    </w:p>
    <w:p w14:paraId="04E21849"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2020年1-9月和11-12月，转发延迟依据已发生的转发事件计算。未来研究可结合信息曝光数据、问卷、访谈或实验设计，进一步分析兴趣、社群规范和算法推荐等作用机制。</w:t>
      </w:r>
    </w:p>
    <w:p w14:paraId="0C3721DF" w14:textId="77777777" w:rsidR="004D6C43" w:rsidRDefault="004D6C43">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3B1D318D"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7046A9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5F79E012"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6195FBBD"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51E75C66"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33D08D9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62D5DB0F"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4141C789"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13909AA1"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2D88CD62"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743BF999"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3BE349FC"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199A15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73797E1"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473797E1" w14:textId="77777777" w:rsidR="004D6C43" w:rsidRDefault="00000000">
      <w:pPr>
        <w:spacing w:before="120" w:after="240" w:line="276" w:lineRule="auto"/>
        <w:ind w:left="420" w:hanging="420"/>
        <w:jc w:val="both"/>
      </w:pPr>
      <w:r>
        <w:rPr>
          <w:rFonts w:eastAsia="Songti SC"/>
          <w:color w:val="000000"/>
          <w:sz w:val="19"/>
        </w:rPr>
      </w: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3ACA7E6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05605CA9"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CCF830E"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1FE38AC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774EB958" w14:textId="77777777" w:rsidR="004D6C43" w:rsidRDefault="00000000">
      <w:pPr>
        <w:spacing w:before="120" w:after="240" w:line="276" w:lineRule="auto"/>
        <w:ind w:left="420" w:hanging="420"/>
        <w:jc w:val="both"/>
      </w:pPr>
      <w:r>
        <w:rPr>
          <w:rFonts w:eastAsia="Songti SC"/>
          <w:color w:val="000000"/>
          <w:sz w:val="19"/>
        </w:rPr>
        <w:lastRenderedPageBreak/>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22295DC1"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27FE8776"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6A9F853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4C79164"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77215216"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4570F0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2AE75A5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08810E81"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5A16110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1B97184D"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0E8BF9A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AF50735" w14:textId="77777777" w:rsidR="004D6C43" w:rsidRDefault="004D6C43">
      <w:pPr>
        <w:spacing w:before="120" w:after="240" w:line="276" w:lineRule="auto"/>
        <w:ind w:left="420" w:hanging="420"/>
        <w:jc w:val="both"/>
      </w:pP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4B0B6DB" w14:textId="77777777" w:rsidR="004D6C43" w:rsidRDefault="00000000">
      <w:pPr>
        <w:spacing w:before="120" w:after="240"/>
        <w:rPr>
          <w:lang w:eastAsia="zh-CN"/>
        </w:rPr>
      </w:pPr>
      <w:r>
        <w:rPr>
          <w:lang w:eastAsia="zh-CN"/>
        </w:rP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38C7512" w14:textId="77777777" w:rsidR="004D6C43" w:rsidRDefault="00000000">
      <w:pPr>
        <w:spacing w:before="120" w:after="240"/>
        <w:rPr>
          <w:lang w:eastAsia="zh-CN"/>
        </w:rPr>
      </w:pPr>
      <w:r>
        <w:rPr>
          <w:lang w:eastAsia="zh-CN"/>
        </w:rP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66C60B9C" w14:textId="77777777" w:rsidR="004D6C43" w:rsidRDefault="00000000">
      <w:pPr>
        <w:spacing w:before="120" w:after="240"/>
        <w:rPr>
          <w:lang w:eastAsia="zh-CN"/>
        </w:rPr>
      </w:pPr>
      <w:r>
        <w:rPr>
          <w:lang w:eastAsia="zh-CN"/>
        </w:rP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EBEF997" w14:textId="77777777" w:rsidR="004D6C43" w:rsidRDefault="00000000">
      <w:pPr>
        <w:spacing w:before="120" w:after="240"/>
        <w:rPr>
          <w:lang w:eastAsia="zh-CN"/>
        </w:rPr>
      </w:pPr>
      <w:r>
        <w:rPr>
          <w:lang w:eastAsia="zh-CN"/>
        </w:rP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11081BB2" w14:textId="77777777" w:rsidR="004D6C43" w:rsidRDefault="00000000">
      <w:pPr>
        <w:spacing w:before="120" w:after="240"/>
        <w:rPr>
          <w:lang w:eastAsia="zh-CN"/>
        </w:rPr>
      </w:pPr>
      <w:r>
        <w:rPr>
          <w:lang w:eastAsia="zh-CN"/>
        </w:rP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B5F5F" w14:textId="77777777" w:rsidR="006A43D5" w:rsidRDefault="006A43D5">
      <w:pPr>
        <w:spacing w:before="120" w:after="240"/>
      </w:pPr>
      <w:r>
        <w:separator/>
      </w:r>
    </w:p>
  </w:endnote>
  <w:endnote w:type="continuationSeparator" w:id="0">
    <w:p w14:paraId="36222BD9" w14:textId="77777777" w:rsidR="006A43D5" w:rsidRDefault="006A43D5">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5A7BE" w14:textId="77777777" w:rsidR="006A43D5" w:rsidRDefault="006A43D5">
      <w:pPr>
        <w:spacing w:before="120" w:after="240"/>
      </w:pPr>
      <w:r>
        <w:separator/>
      </w:r>
    </w:p>
  </w:footnote>
  <w:footnote w:type="continuationSeparator" w:id="0">
    <w:p w14:paraId="7AA1521E" w14:textId="77777777" w:rsidR="006A43D5" w:rsidRDefault="006A43D5">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03738"/>
    <w:rsid w:val="003230D1"/>
    <w:rsid w:val="00326F90"/>
    <w:rsid w:val="004D6C43"/>
    <w:rsid w:val="004E135F"/>
    <w:rsid w:val="006A43D5"/>
    <w:rsid w:val="007A726D"/>
    <w:rsid w:val="00811532"/>
    <w:rsid w:val="00827C67"/>
    <w:rsid w:val="00847287"/>
    <w:rsid w:val="0086428B"/>
    <w:rsid w:val="008E47CA"/>
    <w:rsid w:val="00AA1D8D"/>
    <w:rsid w:val="00B31ED9"/>
    <w:rsid w:val="00B47730"/>
    <w:rsid w:val="00CB0664"/>
    <w:rsid w:val="00E13F13"/>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11</cp:revision>
  <dcterms:created xsi:type="dcterms:W3CDTF">2013-12-23T23:15:00Z</dcterms:created>
  <dcterms:modified xsi:type="dcterms:W3CDTF">2026-08-21T01:55:00Z</dcterms:modified>
  <cp:category/>
</cp:coreProperties>
</file>