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ECC65A" w14:textId="77777777" w:rsidR="004D6C43" w:rsidRPr="00EB3583" w:rsidRDefault="00000000">
      <w:pPr>
        <w:spacing w:before="120" w:after="240"/>
        <w:ind w:firstLine="0"/>
        <w:jc w:val="center"/>
        <w:rPr>
          <w:rFonts w:ascii="黑体" w:eastAsia="黑体" w:hAnsi="黑体"/>
          <w:lang w:eastAsia="zh-CN"/>
        </w:rPr>
      </w:pPr>
      <w:r w:rsidRPr="00EB3583">
        <w:rPr>
          <w:rFonts w:ascii="黑体" w:eastAsia="黑体" w:hAnsi="黑体"/>
          <w:b/>
          <w:color w:val="000000"/>
          <w:sz w:val="44"/>
          <w:lang w:eastAsia="zh-CN"/>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平均概率为14.15%，显著高于女性账号的10.52%；女性账号参与明星文化信息消费的平均概率为6.93%，显著高于男性账号的5.40%。在内容表达方面，男性账号发布的公共事务内容比例约为女性账号的2.36倍，女性账号发布的明星文化内容比例约为男性账号的2.27倍，两项差异均达到统计显著水平。稳健性分析表明，上述结果并未受到个人账号筛选、男女样本数量不平衡、极端值处理、观察月份、来源账号选择或词表构造的实质影响。研究表明，网络普及之后的数字性别差异同时体现于参与领域和参与方式：男性账号相对偏向公共事务领域，女性账号相对偏向明星文化领域。</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2020年微博225,339个账号及其146,811,818条帖子，在同一批账号和同一观察期内形成四项相互对应的测量，进而比较不同性别账号在两个信息领域和两种参与方式中的参与特征。</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本文使用两类微博数据。文本数据购自第三方数据公司。该公司采用每日随机关键词的大规模采集方式，日均采集约3000万条公开微博。本文使用的原始帖子文件覆盖2020年1-9月和11-12月。</w:t>
      </w:r>
    </w:p>
    <w:p w14:paraId="0D729C3D" w14:textId="77777777" w:rsidR="004D6C43" w:rsidRDefault="00000000">
      <w:pPr>
        <w:spacing w:before="120" w:after="240"/>
        <w:jc w:val="both"/>
        <w:rPr>
          <w:lang w:eastAsia="zh-CN"/>
        </w:rPr>
      </w:pPr>
      <w:r>
        <w:rPr>
          <w:rFonts w:eastAsia="Songti SC"/>
          <w:color w:val="000000"/>
          <w:lang w:eastAsia="zh-CN"/>
        </w:rPr>
        <w:t>账号性别资料来自Weibo-COV 2.0公开的2000万微博活跃账号资料库（Hu等，2020；项目主页：https://github.com/nghuyong/weibo-cov）。该资料库提供账号ID、性别、地区、生日、粉丝数和会员等级等信息。本文以账号ID匹配用户资料与帖子数据，并对跨文件重复帖子进行去重。匹配后得到225,339个账号及其发布的146,811,818条帖子，其中男性账号51,836个，女性账号173,503个。</w:t>
      </w:r>
    </w:p>
    <w:p w14:paraId="00E08A3C" w14:textId="77777777" w:rsidR="004D6C43" w:rsidRDefault="00000000">
      <w:pPr>
        <w:spacing w:before="120" w:after="240"/>
        <w:jc w:val="both"/>
        <w:rPr>
          <w:lang w:eastAsia="zh-CN"/>
        </w:rPr>
      </w:pPr>
      <w:r>
        <w:rPr>
          <w:rFonts w:eastAsia="Songti SC"/>
          <w:color w:val="000000"/>
          <w:lang w:eastAsia="zh-CN"/>
        </w:rPr>
        <w:t>主分析以账号为基本单位，将每个账号的帖子和转发记录汇总为信息消费、内容表达和活跃程度指标。月份分析以账号-月份为单位，并对同一账号的重复观察使用聚类标准误。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51CA53D"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2025版互联网新闻信息稿源单位名单确定，涵盖中央新闻单位、中央重点新闻网站、政府发布平台和地方新闻单位等类别。将候选单位名称与微博账号资料进行匹配后，共识别54个官方媒体或政府发布账号，其中47个账号在2020年匹配样本中至少产生一条有效转发记录，构成公共事务来源集合。</w:t>
      </w:r>
    </w:p>
    <w:p w14:paraId="151CA53D"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演员”“歌手”“艺人”“主唱”“偶像”“乐队”“歌星”“唱作人”“导演”“童星”或“音乐人”的账号进入候选集合，清理后共有216个账号在2020年匹配样本中产生有效转发记录，构成明星文化来源集合。</w:t>
      </w:r>
    </w:p>
    <w:p w14:paraId="151CA53D" w14:textId="77777777" w:rsidR="004D6C43" w:rsidRDefault="00000000">
      <w:pPr>
        <w:spacing w:before="120" w:after="240"/>
        <w:jc w:val="both"/>
        <w:rPr>
          <w:lang w:eastAsia="zh-CN"/>
        </w:rPr>
      </w:pPr>
      <w:r>
        <w:rPr>
          <w:rFonts w:eastAsia="Songti SC"/>
          <w:color w:val="000000"/>
          <w:lang w:eastAsia="zh-CN"/>
        </w:rPr>
        <w:t>每条转发记录按照原帖作者的账号ID与两个来源集合进行匹配。来源账号自身的转发记录予以排除，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不计入有效文字帖。没有有效文字帖的账号在内容表达分析中记为缺失。</w:t>
      </w:r>
    </w:p>
    <w:p w14:paraId="3C214FC8" w14:textId="77777777" w:rsidR="004D6C43" w:rsidRDefault="00000000">
      <w:pPr>
        <w:spacing w:before="120" w:after="240"/>
        <w:jc w:val="both"/>
        <w:rPr>
          <w:lang w:eastAsia="zh-CN"/>
        </w:rPr>
      </w:pPr>
      <w:r>
        <w:rPr>
          <w:rFonts w:eastAsia="Songti SC"/>
          <w:color w:val="000000"/>
          <w:lang w:eastAsia="zh-CN"/>
        </w:rPr>
        <w:t>公共事务词表包含816个经人工审核的词条，明星词表包含535个经人工审核的姓名。词条识别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因此两个领域的比例不要求相加为100%。</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本文依次使用三种比较。第一种是未调整比较，呈现平台数据中男性账号与女性账号实际观察到的差异。第二种是控制账号使用频率的比较，也是本文的主要模型：模型在账号性别之外加入全年发帖数、转发数、活跃天数和活跃月份，用于比较平台使用程度相近的账号。第三种是资料扩展比较，在上述变量基础上进一步加入认证状态、粉丝数、关注数和地区，考察资料完整账号中的结果。三种比较的样本量分别在结果表注中报告。</w:t>
      </w:r>
    </w:p>
    <w:p w14:paraId="7A1D84BB" w14:textId="77777777" w:rsidR="004D6C43" w:rsidRDefault="00000000">
      <w:pPr>
        <w:spacing w:before="120" w:after="240"/>
        <w:jc w:val="both"/>
        <w:rPr>
          <w:lang w:eastAsia="zh-CN"/>
        </w:rPr>
      </w:pPr>
      <w:r>
        <w:rPr>
          <w:rFonts w:eastAsia="Songti SC"/>
          <w:color w:val="000000"/>
          <w:lang w:eastAsia="zh-CN"/>
        </w:rPr>
        <w:t>是否参与某类信息消费使用Logit模型，并报告概率尺度上的平均边际效应；领域来源转发比例、内容比例和参与月份比例使用分数Logit，并采用稳健协方差。差异均按“男性账号减女性账号”计算，正值表示男性账号更高，负值表示女性账号更高。</w:t>
      </w:r>
    </w:p>
    <w:p w14:paraId="5979F377" w14:textId="77777777" w:rsidR="004D6C43" w:rsidRDefault="00000000">
      <w:pPr>
        <w:spacing w:before="120" w:after="240"/>
        <w:jc w:val="both"/>
        <w:rPr>
          <w:lang w:eastAsia="zh-CN"/>
        </w:rPr>
      </w:pPr>
      <w:r>
        <w:rPr>
          <w:rFonts w:eastAsia="Songti SC"/>
          <w:color w:val="000000"/>
          <w:lang w:eastAsia="zh-CN"/>
        </w:rPr>
        <w:t>为直接比较同一种参与方式在两个领域中的性别差异，分析将每个账号展开为公共事务和明星文化两行，拟合性别、领域及其交互项，并使用按账号聚类的广义估计方程。核心估计量为：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p>
    <w:p w14:paraId="1082BA6F" w14:textId="77777777" w:rsidR="004D6C43" w:rsidRDefault="00000000">
      <w:pPr>
        <w:pStyle w:val="21"/>
        <w:spacing w:before="120" w:after="240"/>
        <w:rPr>
          <w:lang w:eastAsia="zh-CN"/>
        </w:rPr>
      </w:pPr>
      <w:r>
        <w:rPr>
          <w:rFonts w:ascii="Times New Roman" w:eastAsia="Heiti SC" w:hAnsi="Times New Roman"/>
          <w:lang w:eastAsia="zh-CN"/>
        </w:rPr>
        <w:t>（五）稳健性检验</w:t>
      </w:r>
    </w:p>
    <w:p w14:paraId="0236F8BD" w14:textId="77777777" w:rsidR="004D6C43" w:rsidRDefault="00000000">
      <w:pPr>
        <w:spacing w:before="120" w:after="240"/>
        <w:jc w:val="both"/>
        <w:rPr>
          <w:lang w:eastAsia="zh-CN"/>
        </w:rPr>
      </w:pPr>
      <w:r>
        <w:rPr>
          <w:rFonts w:eastAsia="Songti SC"/>
          <w:color w:val="000000"/>
          <w:lang w:eastAsia="zh-CN"/>
        </w:rPr>
        <w:t>稳健性分析围绕样本、测量、来源和模型四个方面展开。样本检验包括男女等量抽样、基于发帖数、转发数、活跃天数和认证状态的</w:t>
      </w:r>
      <w:r>
        <w:rPr>
          <w:rFonts w:eastAsia="Songti SC"/>
          <w:color w:val="000000"/>
          <w:lang w:eastAsia="zh-CN"/>
        </w:rPr>
        <w:t>1∶1</w:t>
      </w:r>
      <w:r>
        <w:rPr>
          <w:rFonts w:eastAsia="Songti SC"/>
          <w:color w:val="000000"/>
          <w:lang w:eastAsia="zh-CN"/>
        </w:rPr>
        <w:t>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w:t>
      </w:r>
      <w:r>
        <w:rPr>
          <w:rFonts w:eastAsia="Songti SC"/>
          <w:color w:val="000000"/>
          <w:lang w:eastAsia="zh-CN"/>
        </w:rPr>
        <w:t>80%</w:t>
      </w:r>
      <w:r>
        <w:rPr>
          <w:rFonts w:eastAsia="Songti SC"/>
          <w:color w:val="000000"/>
          <w:lang w:eastAsia="zh-CN"/>
        </w:rPr>
        <w:t>的词条，重复</w:t>
      </w:r>
      <w:r>
        <w:rPr>
          <w:rFonts w:eastAsia="Songti SC"/>
          <w:color w:val="000000"/>
          <w:lang w:eastAsia="zh-CN"/>
        </w:rPr>
        <w:t>200</w:t>
      </w:r>
      <w:r>
        <w:rPr>
          <w:rFonts w:eastAsia="Songti SC"/>
          <w:color w:val="000000"/>
          <w:lang w:eastAsia="zh-CN"/>
        </w:rPr>
        <w:t>次。月份检验比较不同时间范围并逐月排除。对次级分析中的可比较检验使用</w:t>
      </w:r>
      <w:r>
        <w:rPr>
          <w:rFonts w:eastAsia="Songti SC"/>
          <w:color w:val="000000"/>
          <w:lang w:eastAsia="zh-CN"/>
        </w:rPr>
        <w:t>Benjamini-Hochberg</w:t>
      </w:r>
      <w:r>
        <w:rPr>
          <w:rFonts w:eastAsia="Songti SC"/>
          <w:color w:val="000000"/>
          <w:lang w:eastAsia="zh-CN"/>
        </w:rPr>
        <w:t>方法控制错误发现率。</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。两个领域的性别差异方向相反，说明总体参与数量无法概括男性和女性在平台上的信息选择。</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控制账号使用频率的模型进一步比较发帖量、转发量和活跃时间相近的账号。表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个百分点。四个置信区间均未跨越零。资料扩展比较虽然只保留资料完整账号，但方向与主要模型一致。</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未调整比较</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资料扩展</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置信区间。未调整比较只包含性别字段；控制账号使用频率的比较加入全年发帖数、转发数、活跃天数和活跃月份；资料扩展比较进一步加入认证状态、粉丝数、关注数和地区。信息消费模型的全样本量为</w:t>
      </w:r>
      <w:r>
        <w:rPr>
          <w:rFonts w:eastAsia="Songti SC"/>
          <w:color w:val="000000"/>
          <w:sz w:val="18"/>
          <w:lang w:eastAsia="zh-CN"/>
        </w:rPr>
        <w:t>225,339</w:t>
      </w:r>
      <w:r>
        <w:rPr>
          <w:rFonts w:eastAsia="Songti SC"/>
          <w:color w:val="000000"/>
          <w:sz w:val="18"/>
          <w:lang w:eastAsia="zh-CN"/>
        </w:rPr>
        <w:t>，内容表达模型为</w:t>
      </w:r>
      <w:r>
        <w:rPr>
          <w:rFonts w:eastAsia="Songti SC"/>
          <w:color w:val="000000"/>
          <w:sz w:val="18"/>
          <w:lang w:eastAsia="zh-CN"/>
        </w:rPr>
        <w:t>224,302</w:t>
      </w:r>
      <w:r>
        <w:rPr>
          <w:rFonts w:eastAsia="Songti SC"/>
          <w:color w:val="000000"/>
          <w:sz w:val="18"/>
          <w:lang w:eastAsia="zh-CN"/>
        </w:rPr>
        <w:t>；资料扩展比较分别为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控制账号使用频率改变了差异幅度，却没有改变领域方向。公共事务信息消费中的男性优势由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个百分点，说明女性账号较高的总体转发量在未调整比较中掩盖了部分领域差异；公共事务内容表达的差异由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个百分点，说明总体发帖结构解释了部分内容差异。账号使用频率会改变估计大小，但不足以解释两个领域相反的性别配置；结果的实质意义来自效应方向和幅度，而非控制变量加入后的显著性。</w:t>
      </w:r>
    </w:p>
    <w:p w14:paraId="30D812D5" w14:textId="77777777" w:rsidR="004D6C43" w:rsidRDefault="00000000">
      <w:pPr>
        <w:pStyle w:val="21"/>
        <w:spacing w:before="120" w:after="240"/>
        <w:rPr>
          <w:lang w:eastAsia="zh-CN"/>
        </w:rPr>
      </w:pPr>
      <w:r>
        <w:rPr>
          <w:rFonts w:ascii="Times New Roman" w:eastAsia="Heiti SC" w:hAnsi="Times New Roman"/>
          <w:lang w:eastAsia="zh-CN"/>
        </w:rPr>
        <w:lastRenderedPageBreak/>
        <w:t>（二）内容表达中的领域分化更强</w:t>
      </w:r>
    </w:p>
    <w:p w14:paraId="6C574314"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把两个领域放入同一交互模型，直接检验同一种参与方式中的性别差异是否因领域而变化。控制账号使用频率后，信息消费中的领域距离为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。这意味着，从公共事务领域到明星文化领域，男性账号相对于女性账号的参与优势在信息消费中变化</w:t>
      </w:r>
      <w:r>
        <w:rPr>
          <w:rFonts w:eastAsia="Songti SC"/>
          <w:color w:val="000000"/>
          <w:lang w:eastAsia="zh-CN"/>
        </w:rPr>
        <w:t>5.16</w:t>
      </w:r>
      <w:r>
        <w:rPr>
          <w:rFonts w:eastAsia="Songti SC"/>
          <w:color w:val="000000"/>
          <w:lang w:eastAsia="zh-CN"/>
        </w:rPr>
        <w:t>个百分点，在内容表达中变化</w:t>
      </w:r>
      <w:r>
        <w:rPr>
          <w:rFonts w:eastAsia="Songti SC"/>
          <w:color w:val="000000"/>
          <w:lang w:eastAsia="zh-CN"/>
        </w:rPr>
        <w:t>15.29</w:t>
      </w:r>
      <w:r>
        <w:rPr>
          <w:rFonts w:eastAsia="Songti SC"/>
          <w:color w:val="000000"/>
          <w:lang w:eastAsia="zh-CN"/>
        </w:rPr>
        <w:t>个百分点。</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未调整比较</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资料扩展</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lastRenderedPageBreak/>
        <w:t>内容表达的领域距离约为信息消费的三倍。本文的信息消费指标只要求全年至少转发一次某领域来源，更容易受到信息供给、账号关注和偶发转发机会影响；内容表达比例概括全年公开文字的议题配置，反映某一领域在账号可见表达中的相对位置。结果支持</w:t>
      </w:r>
      <w:r>
        <w:rPr>
          <w:rFonts w:eastAsia="Songti SC"/>
          <w:color w:val="000000"/>
          <w:lang w:eastAsia="zh-CN"/>
        </w:rPr>
        <w:t>“</w:t>
      </w:r>
      <w:r>
        <w:rPr>
          <w:rFonts w:eastAsia="Songti SC"/>
          <w:color w:val="000000"/>
          <w:lang w:eastAsia="zh-CN"/>
        </w:rPr>
        <w:t>参与方式具有不同分化幅度</w:t>
      </w:r>
      <w:r>
        <w:rPr>
          <w:rFonts w:eastAsia="Songti SC"/>
          <w:color w:val="000000"/>
          <w:lang w:eastAsia="zh-CN"/>
        </w:rPr>
        <w:t>”</w:t>
      </w:r>
      <w:r>
        <w:rPr>
          <w:rFonts w:eastAsia="Songti SC"/>
          <w:color w:val="000000"/>
          <w:lang w:eastAsia="zh-CN"/>
        </w:rPr>
        <w:t>的预期。它与公开表达承载更强身份呈现和受众评价的解释相符，但现有数据不能在兴趣、表达成本、社群规范和算法曝光之间识别具体机制。</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（三）信息消费与内容表达并不重合</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核心信息消费指标回答账号是否跨过某一领域的最低参与门槛，来源转发占比则回答该领域在全部转发中占多大位置。控制账号使用频率后，男性账号的公共事务来源转发占全部转发的比例仅高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个百分点，置信区间跨越零。与此同时，公共事务和明星文化的内容表达比例仍分别相差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个百分点。最低限度的信息消费、持续传播和内容表达因而不能合并为一个统一指标。</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边界清楚但容易受到头部来源供给影响；依据文本识别内容表达，覆盖原创与评论表达但面临语境误判。两类指标可以互相参照，却不能彼此替代。将二者合并为单一</w:t>
      </w:r>
      <w:r>
        <w:rPr>
          <w:rFonts w:eastAsia="Songti SC"/>
          <w:color w:val="000000"/>
          <w:lang w:eastAsia="zh-CN"/>
        </w:rPr>
        <w:t>“</w:t>
      </w:r>
      <w:r>
        <w:rPr>
          <w:rFonts w:eastAsia="Songti SC"/>
          <w:color w:val="000000"/>
          <w:lang w:eastAsia="zh-CN"/>
        </w:rPr>
        <w:t>新闻</w:t>
      </w:r>
      <w:r>
        <w:rPr>
          <w:rFonts w:eastAsia="Songti SC"/>
          <w:color w:val="000000"/>
          <w:lang w:eastAsia="zh-CN"/>
        </w:rPr>
        <w:t>-</w:t>
      </w:r>
      <w:r>
        <w:rPr>
          <w:rFonts w:eastAsia="Songti SC"/>
          <w:color w:val="000000"/>
          <w:lang w:eastAsia="zh-CN"/>
        </w:rPr>
        <w:t>娱乐使用指数</w:t>
      </w:r>
      <w:r>
        <w:rPr>
          <w:rFonts w:eastAsia="Songti SC"/>
          <w:color w:val="000000"/>
          <w:lang w:eastAsia="zh-CN"/>
        </w:rPr>
        <w:t>”</w:t>
      </w:r>
      <w:r>
        <w:rPr>
          <w:rFonts w:eastAsia="Songti SC"/>
          <w:color w:val="000000"/>
          <w:lang w:eastAsia="zh-CN"/>
        </w:rPr>
        <w:t>，会掩盖信息来源与表达议题的差别。</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并非由某一性别的账号总体更活跃造成。两类账号都可能跨领域参与，但只参与公共事务的情况更偏向男性账号，只参与明星文化的情况更偏向女性账号。内容表达比例的相关分析也没有显示简单的此消彼长：控制账号使用频率后，男性账号的两个领域呈弱负相关，女性账号呈弱正相关。性别化的信息领域结构由不同的参与组合构成，不能简化为从公共到娱乐的单轴排序。</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转发延迟采用用户级中位数，避免高频账号和长尾记录主导均值。在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。这一结果只描述已经发生的转发，不代表女性更早看到信息，也不能说明曝光后的因果反应速度。</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五、稳健性分析</w:t>
      </w:r>
    </w:p>
    <w:p w14:paraId="6DC92DEF" w14:textId="77777777" w:rsidR="004D6C43" w:rsidRDefault="00000000">
      <w:pPr>
        <w:pStyle w:val="21"/>
        <w:spacing w:before="120" w:after="240"/>
        <w:rPr>
          <w:lang w:eastAsia="zh-CN"/>
        </w:rPr>
      </w:pPr>
      <w:r>
        <w:rPr>
          <w:rFonts w:ascii="Times New Roman" w:eastAsia="Heiti SC" w:hAnsi="Times New Roman"/>
          <w:lang w:eastAsia="zh-CN"/>
        </w:rPr>
        <w:t>（一）多规格结果的总体稳定性</w:t>
      </w:r>
    </w:p>
    <w:p w14:paraId="59F42BD3" w14:textId="77777777" w:rsidR="004D6C43" w:rsidRDefault="00000000">
      <w:pPr>
        <w:spacing w:before="120" w:after="240"/>
        <w:jc w:val="both"/>
        <w:rPr>
          <w:lang w:eastAsia="zh-CN"/>
        </w:rPr>
      </w:pPr>
      <w:r>
        <w:rPr>
          <w:rFonts w:eastAsia="Songti SC"/>
          <w:color w:val="000000"/>
          <w:lang w:eastAsia="zh-CN"/>
        </w:rPr>
        <w:t>稳健性分析共形成</w:t>
      </w:r>
      <w:r>
        <w:rPr>
          <w:rFonts w:eastAsia="Songti SC"/>
          <w:color w:val="000000"/>
          <w:lang w:eastAsia="zh-CN"/>
        </w:rPr>
        <w:t>8,975</w:t>
      </w:r>
      <w:r>
        <w:rPr>
          <w:rFonts w:eastAsia="Songti SC"/>
          <w:color w:val="000000"/>
          <w:lang w:eastAsia="zh-CN"/>
        </w:rPr>
        <w:t>个有效设定，涵盖样本、账号、词表、分母、帖子类型、极端值和时间限制等</w:t>
      </w:r>
      <w:r>
        <w:rPr>
          <w:rFonts w:eastAsia="Songti SC"/>
          <w:color w:val="000000"/>
          <w:lang w:eastAsia="zh-CN"/>
        </w:rPr>
        <w:t>10</w:t>
      </w:r>
      <w:r>
        <w:rPr>
          <w:rFonts w:eastAsia="Songti SC"/>
          <w:color w:val="000000"/>
          <w:lang w:eastAsia="zh-CN"/>
        </w:rPr>
        <w:t>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14:paraId="07421D31" w14:textId="77777777" w:rsidR="004D6C43" w:rsidRDefault="00000000">
      <w:pPr>
        <w:spacing w:before="120" w:after="240"/>
        <w:jc w:val="both"/>
        <w:rPr>
          <w:lang w:eastAsia="zh-CN"/>
        </w:rPr>
      </w:pPr>
      <w:r>
        <w:rPr>
          <w:rFonts w:eastAsia="Songti SC"/>
          <w:color w:val="000000"/>
          <w:lang w:eastAsia="zh-CN"/>
        </w:rPr>
        <w:t>控制账号使用频率并不总是让差异缩小。公共事务信息消费中的男性优势约扩大一倍，明星文化信息消费的差异缩小</w:t>
      </w:r>
      <w:r>
        <w:rPr>
          <w:rFonts w:eastAsia="Songti SC"/>
          <w:color w:val="000000"/>
          <w:lang w:eastAsia="zh-CN"/>
        </w:rPr>
        <w:t>36.0%</w:t>
      </w:r>
      <w:r>
        <w:rPr>
          <w:rFonts w:eastAsia="Songti SC"/>
          <w:color w:val="000000"/>
          <w:lang w:eastAsia="zh-CN"/>
        </w:rPr>
        <w:t>，公共事务和明星文化内容表达的差异分别缩小</w:t>
      </w:r>
      <w:r>
        <w:rPr>
          <w:rFonts w:eastAsia="Songti SC"/>
          <w:color w:val="000000"/>
          <w:lang w:eastAsia="zh-CN"/>
        </w:rPr>
        <w:t>22.4%</w:t>
      </w:r>
      <w:r>
        <w:rPr>
          <w:rFonts w:eastAsia="Songti SC"/>
          <w:color w:val="000000"/>
          <w:lang w:eastAsia="zh-CN"/>
        </w:rPr>
        <w:t>和</w:t>
      </w:r>
      <w:r>
        <w:rPr>
          <w:rFonts w:eastAsia="Songti SC"/>
          <w:color w:val="000000"/>
          <w:lang w:eastAsia="zh-CN"/>
        </w:rPr>
        <w:t>7.2%</w:t>
      </w:r>
      <w:r>
        <w:rPr>
          <w:rFonts w:eastAsia="Songti SC"/>
          <w:color w:val="000000"/>
          <w:lang w:eastAsia="zh-CN"/>
        </w:rPr>
        <w:t>。账号使用频率既是需要比较的行为条件，也是平台参与本身的一部分。未调整结果描述平台实际可见结构，主要模型描述使用频率相近账号之间的差异，两者回答不同问题。</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个百分点。与全账号相比，个人账号中的公共事务差异明显缩小，说明机构账号放大了平台层面的公共事务分化；四项结果的方向仍然一致，说明总体结论并非完全由机构账号造成。</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，样本活动结构接近平衡。匹配结果与全样本方向一致，说明女性账号数量较多本身没有制造两个领域相反的差异。匹配只能平衡已经观察到的账号特征，不能把性别比较转化为因果估计。</w:t>
      </w:r>
    </w:p>
    <w:p w14:paraId="696BB796" w14:textId="77777777" w:rsidR="004D6C43" w:rsidRDefault="00000000">
      <w:pPr>
        <w:pStyle w:val="21"/>
        <w:spacing w:before="120" w:after="240"/>
        <w:rPr>
          <w:lang w:eastAsia="zh-CN"/>
        </w:rPr>
      </w:pPr>
      <w:r>
        <w:rPr>
          <w:rFonts w:ascii="Times New Roman" w:eastAsia="Heiti SC" w:hAnsi="Times New Roman"/>
          <w:lang w:eastAsia="zh-CN"/>
        </w:rPr>
        <w:lastRenderedPageBreak/>
        <w:t>（三）来源账号与词表敏感性</w:t>
      </w:r>
    </w:p>
    <w:p w14:paraId="646ED7DF" w14:textId="77777777" w:rsidR="004D6C43" w:rsidRDefault="00000000">
      <w:pPr>
        <w:spacing w:before="120" w:after="240"/>
        <w:jc w:val="both"/>
        <w:rPr>
          <w:lang w:eastAsia="zh-CN"/>
        </w:rPr>
      </w:pPr>
      <w:r>
        <w:rPr>
          <w:rFonts w:eastAsia="Songti SC"/>
          <w:color w:val="000000"/>
          <w:lang w:eastAsia="zh-CN"/>
        </w:rPr>
        <w:t>信息消费指标所使用的公共事务来源高度集中。在</w:t>
      </w:r>
      <w:r>
        <w:rPr>
          <w:rFonts w:eastAsia="Songti SC"/>
          <w:color w:val="000000"/>
          <w:lang w:eastAsia="zh-CN"/>
        </w:rPr>
        <w:t>47</w:t>
      </w:r>
      <w:r>
        <w:rPr>
          <w:rFonts w:eastAsia="Songti SC"/>
          <w:color w:val="000000"/>
          <w:lang w:eastAsia="zh-CN"/>
        </w:rPr>
        <w:t>个活跃公共事务来源中，第一大来源贡献全部相关转发的</w:t>
      </w:r>
      <w:r>
        <w:rPr>
          <w:rFonts w:eastAsia="Songti SC"/>
          <w:color w:val="000000"/>
          <w:lang w:eastAsia="zh-CN"/>
        </w:rPr>
        <w:t>33.1%</w:t>
      </w:r>
      <w:r>
        <w:rPr>
          <w:rFonts w:eastAsia="Songti SC"/>
          <w:color w:val="000000"/>
          <w:lang w:eastAsia="zh-CN"/>
        </w:rPr>
        <w:t>，前</w:t>
      </w:r>
      <w:r>
        <w:rPr>
          <w:rFonts w:eastAsia="Songti SC"/>
          <w:color w:val="000000"/>
          <w:lang w:eastAsia="zh-CN"/>
        </w:rPr>
        <w:t>5</w:t>
      </w:r>
      <w:r>
        <w:rPr>
          <w:rFonts w:eastAsia="Songti SC"/>
          <w:color w:val="000000"/>
          <w:lang w:eastAsia="zh-CN"/>
        </w:rPr>
        <w:t>个贡献</w:t>
      </w:r>
      <w:r>
        <w:rPr>
          <w:rFonts w:eastAsia="Songti SC"/>
          <w:color w:val="000000"/>
          <w:lang w:eastAsia="zh-CN"/>
        </w:rPr>
        <w:t>88.4%</w:t>
      </w:r>
      <w:r>
        <w:rPr>
          <w:rFonts w:eastAsia="Songti SC"/>
          <w:color w:val="000000"/>
          <w:lang w:eastAsia="zh-CN"/>
        </w:rPr>
        <w:t>，前</w:t>
      </w:r>
      <w:r>
        <w:rPr>
          <w:rFonts w:eastAsia="Songti SC"/>
          <w:color w:val="000000"/>
          <w:lang w:eastAsia="zh-CN"/>
        </w:rPr>
        <w:t>10</w:t>
      </w:r>
      <w:r>
        <w:rPr>
          <w:rFonts w:eastAsia="Songti SC"/>
          <w:color w:val="000000"/>
          <w:lang w:eastAsia="zh-CN"/>
        </w:rPr>
        <w:t>个贡献</w:t>
      </w:r>
      <w:r>
        <w:rPr>
          <w:rFonts w:eastAsia="Songti SC"/>
          <w:color w:val="000000"/>
          <w:lang w:eastAsia="zh-CN"/>
        </w:rPr>
        <w:t>97.6%</w:t>
      </w:r>
      <w:r>
        <w:rPr>
          <w:rFonts w:eastAsia="Songti SC"/>
          <w:color w:val="000000"/>
          <w:lang w:eastAsia="zh-CN"/>
        </w:rPr>
        <w:t>；明星文化的</w:t>
      </w:r>
      <w:r>
        <w:rPr>
          <w:rFonts w:eastAsia="Songti SC"/>
          <w:color w:val="000000"/>
          <w:lang w:eastAsia="zh-CN"/>
        </w:rPr>
        <w:t>216</w:t>
      </w:r>
      <w:r>
        <w:rPr>
          <w:rFonts w:eastAsia="Songti SC"/>
          <w:color w:val="000000"/>
          <w:lang w:eastAsia="zh-CN"/>
        </w:rPr>
        <w:t>个活跃来源相对分散，第一大来源、前</w:t>
      </w:r>
      <w:r>
        <w:rPr>
          <w:rFonts w:eastAsia="Songti SC"/>
          <w:color w:val="000000"/>
          <w:lang w:eastAsia="zh-CN"/>
        </w:rPr>
        <w:t>5</w:t>
      </w:r>
      <w:r>
        <w:rPr>
          <w:rFonts w:eastAsia="Songti SC"/>
          <w:color w:val="000000"/>
          <w:lang w:eastAsia="zh-CN"/>
        </w:rPr>
        <w:t>个和前</w:t>
      </w:r>
      <w:r>
        <w:rPr>
          <w:rFonts w:eastAsia="Songti SC"/>
          <w:color w:val="000000"/>
          <w:lang w:eastAsia="zh-CN"/>
        </w:rPr>
        <w:t>10</w:t>
      </w:r>
      <w:r>
        <w:rPr>
          <w:rFonts w:eastAsia="Songti SC"/>
          <w:color w:val="000000"/>
          <w:lang w:eastAsia="zh-CN"/>
        </w:rPr>
        <w:t>个分别贡献</w:t>
      </w:r>
      <w:r>
        <w:rPr>
          <w:rFonts w:eastAsia="Songti SC"/>
          <w:color w:val="000000"/>
          <w:lang w:eastAsia="zh-CN"/>
        </w:rPr>
        <w:t>15.7%</w:t>
      </w:r>
      <w:r>
        <w:rPr>
          <w:rFonts w:eastAsia="Songti SC"/>
          <w:color w:val="000000"/>
          <w:lang w:eastAsia="zh-CN"/>
        </w:rPr>
        <w:t>、</w:t>
      </w:r>
      <w:r>
        <w:rPr>
          <w:rFonts w:eastAsia="Songti SC"/>
          <w:color w:val="000000"/>
          <w:lang w:eastAsia="zh-CN"/>
        </w:rPr>
        <w:t>47.5%</w:t>
      </w:r>
      <w:r>
        <w:rPr>
          <w:rFonts w:eastAsia="Songti SC"/>
          <w:color w:val="000000"/>
          <w:lang w:eastAsia="zh-CN"/>
        </w:rPr>
        <w:t>和</w:t>
      </w:r>
      <w:r>
        <w:rPr>
          <w:rFonts w:eastAsia="Songti SC"/>
          <w:color w:val="000000"/>
          <w:lang w:eastAsia="zh-CN"/>
        </w:rPr>
        <w:t>66.2%</w:t>
      </w:r>
      <w:r>
        <w:rPr>
          <w:rFonts w:eastAsia="Songti SC"/>
          <w:color w:val="000000"/>
          <w:lang w:eastAsia="zh-CN"/>
        </w:rPr>
        <w:t>。逐一删除来源账号后，两个领域的主要方向保持；来源账号重抽样会改变差异幅度，说明信息消费结果对应的是一个具体且不均匀的账号集合，不能外推为所有官方媒体或全部演艺账号的平均反应。</w:t>
      </w:r>
    </w:p>
    <w:p w14:paraId="0B5C72D0" w14:textId="77777777" w:rsidR="004D6C43" w:rsidRDefault="00000000">
      <w:pPr>
        <w:spacing w:before="120" w:after="240"/>
        <w:jc w:val="both"/>
        <w:rPr>
          <w:lang w:eastAsia="zh-CN"/>
        </w:rPr>
      </w:pPr>
      <w:r>
        <w:rPr>
          <w:rFonts w:eastAsia="Songti SC"/>
          <w:color w:val="000000"/>
          <w:lang w:eastAsia="zh-CN"/>
        </w:rPr>
        <w:t>词表检验每次随机保留</w:t>
      </w:r>
      <w:r>
        <w:rPr>
          <w:rFonts w:eastAsia="Songti SC"/>
          <w:color w:val="000000"/>
          <w:lang w:eastAsia="zh-CN"/>
        </w:rPr>
        <w:t>80%</w:t>
      </w:r>
      <w:r>
        <w:rPr>
          <w:rFonts w:eastAsia="Songti SC"/>
          <w:color w:val="000000"/>
          <w:lang w:eastAsia="zh-CN"/>
        </w:rPr>
        <w:t>的公共事务词条和明星姓名，重复</w:t>
      </w:r>
      <w:r>
        <w:rPr>
          <w:rFonts w:eastAsia="Songti SC"/>
          <w:color w:val="000000"/>
          <w:lang w:eastAsia="zh-CN"/>
        </w:rPr>
        <w:t>200</w:t>
      </w:r>
      <w:r>
        <w:rPr>
          <w:rFonts w:eastAsia="Songti SC"/>
          <w:color w:val="000000"/>
          <w:lang w:eastAsia="zh-CN"/>
        </w:rPr>
        <w:t>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14:paraId="74AD3F25" w14:textId="77777777" w:rsidR="004D6C43" w:rsidRDefault="00000000">
      <w:pPr>
        <w:pStyle w:val="21"/>
        <w:spacing w:before="120" w:after="240"/>
        <w:rPr>
          <w:lang w:eastAsia="zh-CN"/>
        </w:rPr>
      </w:pPr>
      <w:r>
        <w:rPr>
          <w:rFonts w:ascii="Times New Roman" w:eastAsia="Heiti SC" w:hAnsi="Times New Roman"/>
          <w:lang w:eastAsia="zh-CN"/>
        </w:rPr>
        <w:t>（四）多重检验与结果边界</w:t>
      </w:r>
    </w:p>
    <w:p w14:paraId="355C6760" w14:textId="77777777" w:rsidR="004D6C43" w:rsidRDefault="00000000">
      <w:pPr>
        <w:spacing w:before="120" w:after="240"/>
        <w:jc w:val="both"/>
        <w:rPr>
          <w:lang w:eastAsia="zh-CN"/>
        </w:rPr>
      </w:pPr>
      <w:r>
        <w:rPr>
          <w:rFonts w:eastAsia="Songti SC"/>
          <w:color w:val="000000"/>
          <w:lang w:eastAsia="zh-CN"/>
        </w:rPr>
        <w:t>次级分析中共有</w:t>
      </w:r>
      <w:r>
        <w:rPr>
          <w:rFonts w:eastAsia="Songti SC"/>
          <w:color w:val="000000"/>
          <w:lang w:eastAsia="zh-CN"/>
        </w:rPr>
        <w:t>258</w:t>
      </w:r>
      <w:r>
        <w:rPr>
          <w:rFonts w:eastAsia="Songti SC"/>
          <w:color w:val="000000"/>
          <w:lang w:eastAsia="zh-CN"/>
        </w:rPr>
        <w:t>项检验具备可比较的标准误并进入错误发现率校正，其中</w:t>
      </w:r>
      <w:r>
        <w:rPr>
          <w:rFonts w:eastAsia="Songti SC"/>
          <w:color w:val="000000"/>
          <w:lang w:eastAsia="zh-CN"/>
        </w:rPr>
        <w:t>235</w:t>
      </w:r>
      <w:r>
        <w:rPr>
          <w:rFonts w:eastAsia="Songti SC"/>
          <w:color w:val="000000"/>
          <w:lang w:eastAsia="zh-CN"/>
        </w:rPr>
        <w:t>项在</w:t>
      </w:r>
      <w:r>
        <w:rPr>
          <w:rFonts w:eastAsia="Songti SC"/>
          <w:color w:val="000000"/>
          <w:lang w:eastAsia="zh-CN"/>
        </w:rPr>
        <w:t>Benjamini-Hochberg</w:t>
      </w:r>
      <w:r>
        <w:rPr>
          <w:rFonts w:eastAsia="Songti SC"/>
          <w:color w:val="000000"/>
          <w:lang w:eastAsia="zh-CN"/>
        </w:rPr>
        <w:t>校正后仍达到</w:t>
      </w:r>
      <w:r>
        <w:rPr>
          <w:rFonts w:eastAsia="Songti SC"/>
          <w:color w:val="000000"/>
          <w:lang w:eastAsia="zh-CN"/>
        </w:rPr>
        <w:t>0.05</w:t>
      </w:r>
      <w:r>
        <w:rPr>
          <w:rFonts w:eastAsia="Songti SC"/>
          <w:color w:val="000000"/>
          <w:lang w:eastAsia="zh-CN"/>
        </w:rPr>
        <w:t>标准。另有大量描述性或重抽样结果没有可比标准误，不进入这一统计。本文不以</w:t>
      </w:r>
      <w:r>
        <w:rPr>
          <w:rFonts w:eastAsia="Songti SC"/>
          <w:color w:val="000000"/>
          <w:lang w:eastAsia="zh-CN"/>
        </w:rPr>
        <w:t>“</w:t>
      </w:r>
      <w:r>
        <w:rPr>
          <w:rFonts w:eastAsia="Songti SC"/>
          <w:color w:val="000000"/>
          <w:lang w:eastAsia="zh-CN"/>
        </w:rPr>
        <w:t>通过多少显著性检验</w:t>
      </w:r>
      <w:r>
        <w:rPr>
          <w:rFonts w:eastAsia="Songti SC"/>
          <w:color w:val="000000"/>
          <w:lang w:eastAsia="zh-CN"/>
        </w:rPr>
        <w:t>”</w:t>
      </w:r>
      <w:r>
        <w:rPr>
          <w:rFonts w:eastAsia="Songti SC"/>
          <w:color w:val="000000"/>
          <w:lang w:eastAsia="zh-CN"/>
        </w:rPr>
        <w:t>作为结论依据；更重要的证据是预先明确的领域交互、效应大小以及跨样本和测量设定的方向稳定性。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用总体参与数量概括这一结果，会丢失领域之间的结构关系。</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（二）公开表达是性别分化更集中的位置</w:t>
      </w:r>
    </w:p>
    <w:p w14:paraId="3EE28144" w14:textId="77777777" w:rsidR="004D6C43" w:rsidRDefault="00000000">
      <w:pPr>
        <w:spacing w:before="120" w:after="240"/>
        <w:jc w:val="both"/>
        <w:rPr>
          <w:lang w:eastAsia="zh-CN"/>
        </w:rPr>
      </w:pPr>
      <w:r>
        <w:rPr>
          <w:rFonts w:eastAsia="Songti SC"/>
          <w:color w:val="000000"/>
          <w:lang w:eastAsia="zh-CN"/>
        </w:rPr>
        <w:t>内容表达中的领域距离明显大于信息消费。本文的信息消费指标受到少数头部账号的内容供给、关注关系和偶发转发机会约束；内容比例反映账号全年公开文字中的议题配置。公开表达还可能承载身份呈现、冲突风险、情感劳动和社群任务。本文的结果说明性别分化更集中于</w:t>
      </w:r>
      <w:r>
        <w:rPr>
          <w:rFonts w:eastAsia="Songti SC"/>
          <w:color w:val="000000"/>
          <w:lang w:eastAsia="zh-CN"/>
        </w:rPr>
        <w:t>“</w:t>
      </w:r>
      <w:r>
        <w:rPr>
          <w:rFonts w:eastAsia="Songti SC"/>
          <w:color w:val="000000"/>
          <w:lang w:eastAsia="zh-CN"/>
        </w:rPr>
        <w:t>谈论什么</w:t>
      </w:r>
      <w:r>
        <w:rPr>
          <w:rFonts w:eastAsia="Songti SC"/>
          <w:color w:val="000000"/>
          <w:lang w:eastAsia="zh-CN"/>
        </w:rPr>
        <w:t>”</w:t>
      </w:r>
      <w:r>
        <w:rPr>
          <w:rFonts w:eastAsia="Songti SC"/>
          <w:color w:val="000000"/>
          <w:lang w:eastAsia="zh-CN"/>
        </w:rPr>
        <w:t>，但不能证明某一种机制单独造成了这一现象。</w:t>
      </w:r>
    </w:p>
    <w:p w14:paraId="1285F69B" w14:textId="77777777" w:rsidR="004D6C43" w:rsidRDefault="00000000">
      <w:pPr>
        <w:spacing w:before="120" w:after="240"/>
        <w:jc w:val="both"/>
        <w:rPr>
          <w:lang w:eastAsia="zh-CN"/>
        </w:rPr>
      </w:pPr>
      <w:r>
        <w:rPr>
          <w:rFonts w:eastAsia="Songti SC"/>
          <w:color w:val="000000"/>
          <w:lang w:eastAsia="zh-CN"/>
        </w:rPr>
        <w:lastRenderedPageBreak/>
        <w:t>这一区分也解释了为什么来源转发占比与内容比例给出不同结果。男性账号更可能至少转发一次公共事务来源，但在已经发生转发的账号中，官方媒体转发占全部转发的比例只存在很小差异。明星文化信息消费存在女性优势，演艺来源占全部转发的比例却几乎没有差异。最低参与门槛、行为强度和议题配置是三个不同层面，未来研究应分别建立解释。</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（四）研究局限与结论</w:t>
      </w:r>
    </w:p>
    <w:p w14:paraId="798973DD" w14:textId="77777777" w:rsidR="004D6C43" w:rsidRDefault="00000000">
      <w:pPr>
        <w:spacing w:before="120" w:after="240"/>
        <w:jc w:val="both"/>
        <w:rPr>
          <w:lang w:eastAsia="zh-CN"/>
        </w:rPr>
      </w:pPr>
      <w:r>
        <w:rPr>
          <w:rFonts w:eastAsia="Songti SC"/>
          <w:color w:val="000000"/>
          <w:lang w:eastAsia="zh-CN"/>
        </w:rPr>
        <w:t>第一，文本数据采用每日随机关键词方式采集，用户资料与帖子只有在账号ID匹配后进入分析，因而样本不构成对微博总体用户的概率抽样。本文结果描述匹配样本中的账号结构。全账号样本同时包含个人账号与机构账号，个人账号稳健性分析用于评估账号构成对结果幅度的影响。</w:t>
      </w:r>
    </w:p>
    <w:p w14:paraId="292ED65B" w14:textId="77777777" w:rsidR="004D6C43" w:rsidRDefault="00000000">
      <w:pPr>
        <w:spacing w:before="120" w:after="240"/>
        <w:jc w:val="both"/>
        <w:rPr>
          <w:lang w:eastAsia="zh-CN"/>
        </w:rPr>
      </w:pPr>
      <w:r>
        <w:rPr>
          <w:rFonts w:eastAsia="Songti SC"/>
          <w:color w:val="000000"/>
          <w:lang w:eastAsia="zh-CN"/>
        </w:rPr>
        <w:t>第二，来源名单和词表具有历史与范围边界。公共事务来源集中于少数头部账号，演艺认证来源不能代表全部文化生产者；字符串命中也不能自动识别支持、反对、讽刺、广告、榜单任务和偶然提及。来源删减和词表重抽样能够检验测量集合的敏感性，但不能替代对文本语境的分层人工编码和一致性评估。</w:t>
      </w:r>
    </w:p>
    <w:p w14:paraId="04E21849" w14:textId="77777777" w:rsidR="004D6C43" w:rsidRDefault="00000000">
      <w:pPr>
        <w:spacing w:before="120" w:after="240"/>
        <w:jc w:val="both"/>
        <w:rPr>
          <w:lang w:eastAsia="zh-CN"/>
        </w:rPr>
      </w:pPr>
      <w:r>
        <w:rPr>
          <w:rFonts w:eastAsia="Songti SC"/>
          <w:color w:val="000000"/>
          <w:lang w:eastAsia="zh-CN"/>
        </w:rPr>
        <w:t>第三，观察性数据无法区分兴趣、曝光、职业角色、受众想象、社群规范和算法推荐。控制账号使用频率使一般使用机会更可比，但不构成随机化控制。</w:t>
      </w:r>
      <w:r>
        <w:rPr>
          <w:rFonts w:eastAsia="Songti SC"/>
          <w:color w:val="000000"/>
          <w:lang w:eastAsia="zh-CN"/>
        </w:rPr>
        <w:t>2020</w:t>
      </w:r>
      <w:r>
        <w:rPr>
          <w:rFonts w:eastAsia="Songti SC"/>
          <w:color w:val="000000"/>
          <w:lang w:eastAsia="zh-CN"/>
        </w:rPr>
        <w:t>年</w:t>
      </w:r>
      <w:r>
        <w:rPr>
          <w:rFonts w:eastAsia="Songti SC"/>
          <w:color w:val="000000"/>
          <w:lang w:eastAsia="zh-CN"/>
        </w:rPr>
        <w:t>10</w:t>
      </w:r>
      <w:r>
        <w:rPr>
          <w:rFonts w:eastAsia="Songti SC"/>
          <w:color w:val="000000"/>
          <w:lang w:eastAsia="zh-CN"/>
        </w:rPr>
        <w:t>月没有进入数据库，月度结果保持缺失且不进行插补；转发延迟也只在已经发生的转发中定义，不能解释为曝光后的反应速度。本文的结果应理解为账号层面的描述性关联。</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w:t>
      </w:r>
      <w:r>
        <w:rPr>
          <w:rFonts w:eastAsia="Songti SC"/>
          <w:color w:val="000000"/>
          <w:lang w:eastAsia="zh-CN"/>
        </w:rPr>
        <w:lastRenderedPageBreak/>
        <w:t>务领域，女性账号相对更多参与明星文化领域。上述方向同时出现在信息消费和内容表达中，而两个领域之间的性别距离在内容表达中约为信息消费的三倍，说明性别分化更集中于公开谈论什么。</w:t>
      </w:r>
    </w:p>
    <w:p w14:paraId="3B1D318D" w14:textId="77777777" w:rsidR="004D6C43" w:rsidRDefault="00000000">
      <w:pPr>
        <w:spacing w:before="120" w:after="240"/>
        <w:jc w:val="both"/>
        <w:rPr>
          <w:lang w:eastAsia="zh-CN"/>
        </w:rPr>
      </w:pPr>
      <w:r>
        <w:rPr>
          <w:rFonts w:eastAsia="Songti SC"/>
          <w:color w:val="000000"/>
          <w:lang w:eastAsia="zh-CN"/>
        </w:rPr>
        <w:t>稳健性分析表明，由性别、信息领域和参与方式共同构成的结果并未受到个人账号筛选、男女样本平衡、极端值处理、月份限制、来源删减或词表重抽样的实质影响。效应幅度仍会随推论对象和测量规则变化，尤其是排除机构账号后，公共事务差异明显缩小。数字平台中的性别差异因此需要同时说明研究对象、参与领域、参与方式和测量边界。</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473797E1" w14:textId="77777777" w:rsidR="004D6C43" w:rsidRDefault="00000000">
      <w:pPr>
        <w:spacing w:before="120" w:after="240" w:line="276" w:lineRule="auto"/>
        <w:ind w:left="420" w:hanging="420"/>
        <w:jc w:val="both"/>
      </w:pPr>
      <w:r>
        <w:rPr>
          <w:rFonts w:eastAsia="Songti SC"/>
          <w:color w:val="000000"/>
          <w:sz w:val="19"/>
        </w:rPr>
      </w: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