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60"/>
        <w:jc w:val="center"/>
      </w:pPr>
      <w:r>
        <w:rPr>
          <w:rFonts w:ascii="STSong" w:hAnsi="STSong" w:eastAsia="STSong" w:cs="STSong" w:hint="eastAsia"/>
          <w:b/>
          <w:i w:val="0"/>
          <w:color w:val="1F435B"/>
          <w:sz w:val="52"/>
          <w:lang w:val="zh-CN" w:eastAsia="zh-CN"/>
        </w:rPr>
        <w:t>性别化的信息领域参与</w:t>
      </w:r>
    </w:p>
    <w:p>
      <w:pPr>
        <w:spacing w:before="160"/>
        <w:jc w:val="center"/>
      </w:pPr>
      <w:r>
        <w:rPr>
          <w:rFonts w:ascii="STSong" w:hAnsi="STSong" w:eastAsia="STSong" w:cs="STSong" w:hint="eastAsia"/>
          <w:b w:val="0"/>
          <w:i w:val="0"/>
          <w:color w:val="2E5D7B"/>
          <w:sz w:val="28"/>
          <w:lang w:val="zh-CN" w:eastAsia="zh-CN"/>
        </w:rPr>
        <w:t>微博个人账号的公共事务与明星文化传播和表达</w:t>
      </w:r>
    </w:p>
    <w:p>
      <w:pPr>
        <w:spacing w:before="360" w:after="320"/>
        <w:jc w:val="center"/>
      </w:pPr>
      <w:r>
        <w:rPr>
          <w:rFonts w:ascii="STSong" w:hAnsi="STSong" w:eastAsia="STSong" w:cs="STSong" w:hint="eastAsia"/>
          <w:b w:val="0"/>
          <w:i w:val="0"/>
          <w:color w:val="8DB2C7"/>
          <w:sz w:val="18"/>
          <w:lang w:val="zh-CN" w:eastAsia="zh-CN"/>
        </w:rPr>
        <w:t>━━━━━━━━━━━━━━━━━━━━━━━━━━━━</w:t>
      </w:r>
    </w:p>
    <w:p>
      <w:pPr>
        <w:jc w:val="center"/>
      </w:pPr>
      <w:r>
        <w:rPr>
          <w:rFonts w:ascii="STSong" w:hAnsi="STSong" w:eastAsia="STSong" w:cs="STSong" w:hint="eastAsia"/>
          <w:b w:val="0"/>
          <w:i w:val="0"/>
          <w:color w:val="6B7280"/>
          <w:sz w:val="22"/>
          <w:lang w:val="zh-CN" w:eastAsia="zh-CN"/>
        </w:rPr>
        <w:t>论文长稿 v3｜方法审计修订版</w:t>
      </w:r>
    </w:p>
    <w:p>
      <w:pPr>
        <w:spacing w:before="160"/>
        <w:jc w:val="center"/>
      </w:pPr>
      <w:r>
        <w:rPr>
          <w:rFonts w:ascii="STSong" w:hAnsi="STSong" w:eastAsia="STSong" w:cs="STSong" w:hint="eastAsia"/>
          <w:b w:val="0"/>
          <w:i w:val="0"/>
          <w:color w:val="6B7280"/>
          <w:sz w:val="20"/>
          <w:lang w:val="zh-CN" w:eastAsia="zh-CN"/>
        </w:rPr>
        <w:t>2026年8月20日</w:t>
      </w:r>
    </w:p>
    <w:tbl>
      <w:tblPr>
        <w:tblW w:type="auto" w:w="0"/>
        <w:jc w:val="center"/>
        <w:tblLayout w:type="fixed"/>
        <w:tblLook w:firstColumn="1" w:firstRow="1" w:lastColumn="0" w:lastRow="0" w:noHBand="0" w:noVBand="1" w:val="04A0"/>
      </w:tblPr>
      <w:tblGrid>
        <w:gridCol w:w="9648"/>
      </w:tblGrid>
      <w:tr>
        <w:trPr>
          <w:tblHeader w:val="true"/>
        </w:trPr>
        <w:tc>
          <w:tcPr>
            <w:tcW w:type="dxa" w:w="6900"/>
            <w:shd w:fill="E8F0F5"/>
            <w:tcMar>
              <w:top w:w="150" w:type="dxa"/>
              <w:start w:w="180" w:type="dxa"/>
              <w:bottom w:w="150" w:type="dxa"/>
              <w:end w:w="180" w:type="dxa"/>
            </w:tcMar>
            <w:tcBorders>
              <w:top w:val="nil"/>
              <w:left w:val="nil"/>
              <w:bottom w:val="nil"/>
              <w:right w:val="nil"/>
              <w:insideH w:val="nil"/>
              <w:insideV w:val="nil"/>
            </w:tcBorders>
          </w:tcPr>
          <w:p>
            <w:pPr>
              <w:jc w:val="center"/>
            </w:pPr>
            <w:r>
              <w:rPr>
                <w:rFonts w:ascii="STSong" w:hAnsi="STSong" w:eastAsia="STSong" w:cs="STSong" w:hint="eastAsia"/>
                <w:b w:val="0"/>
                <w:i w:val="0"/>
                <w:color w:val="1F435B"/>
                <w:sz w:val="19"/>
                <w:lang w:val="zh-CN" w:eastAsia="zh-CN"/>
              </w:rPr>
              <w:t>本版以个人账号四项核心结果为主文证据；月度与持续性结果因时间字段待核验而暂不进入结论。</w:t>
            </w:r>
          </w:p>
        </w:tc>
      </w:tr>
    </w:tbl>
    <w:p>
      <w:pPr>
        <w:sectPr>
          <w:pgSz w:w="12240" w:h="15840"/>
          <w:pgMar w:top="1181" w:right="1296" w:bottom="1181" w:left="1296" w:header="504" w:footer="547" w:gutter="0"/>
          <w:cols w:space="720"/>
          <w:docGrid w:linePitch="360"/>
        </w:sectPr>
      </w:pPr>
    </w:p>
    <w:p>
      <w:pPr>
        <w:pStyle w:val="Heading1"/>
      </w:pPr>
      <w:r>
        <w:t>摘要</w:t>
      </w:r>
    </w:p>
    <w:p>
      <w:pPr>
        <w:pStyle w:val="Abstract"/>
        <w:keepLines/>
        <w:spacing w:lineRule="auto" w:line="324" w:after="120"/>
        <w:ind w:firstLine="420"/>
        <w:jc w:val="both"/>
      </w:pPr>
      <w:r>
        <w:rPr>
          <w:rFonts w:ascii="STSong" w:hAnsi="STSong" w:eastAsia="STSong" w:cs="STSong" w:hint="eastAsia"/>
          <w:b w:val="0"/>
          <w:i w:val="0"/>
          <w:color w:val="202124"/>
          <w:sz w:val="21"/>
          <w:lang w:val="zh-CN" w:eastAsia="zh-CN"/>
        </w:rPr>
        <w:t>社交媒体把公共事务和明星文化并置于同一信息流，但共同的平台入口并不意味着用户进入相同的信息领域。本文使用2020年微博数据，在225,339个具有可用性别字段的账号中，依据认证类型排除15,468个机构账号，以209,871个个人账号为主要分析样本。研究分别测量来源传播和内容表达：前者考察账号是否转发公共事务来源或演艺认证来源，后者考察公共事务词条或明星姓名在有效文字帖中的比例。模型首先呈现未调整差异，再依次加入发帖数、转发数以及账号资料变量。活动量调整后，男性编码个人账号转发公共事务来源的概率比女性编码个人账号高2.28个百分点，转发演艺来源的概率低0.80个百分点；其公共事务帖子比例高3.93个百分点，明星帖子比例低3.06个百分点。两个领域中的性别差异在来源传播上相距3.16个百分点，在内容表达上相距8.34个百分点。结果表明，性别分化同时体现为参与领域和参与方式的差异，其中公开表达的领域分化更明显。全账号结果中的公共事务差异更大，说明机构账号及平台属性编码会改变性别差异的统计呈现。本文将结论限定为平台可见行为的描述性关联，并报告账号分类、来源名单、文本语境、时间字段和计算结果留痕的测量边界。</w:t>
      </w:r>
    </w:p>
    <w:p>
      <w:pPr>
        <w:spacing w:after="160"/>
        <w:ind w:left="360" w:right="360"/>
      </w:pPr>
      <w:r>
        <w:rPr>
          <w:rFonts w:ascii="STSong" w:hAnsi="STSong" w:eastAsia="STSong" w:cs="STSong" w:hint="eastAsia"/>
          <w:b/>
          <w:i w:val="0"/>
          <w:color w:val="202124"/>
          <w:sz w:val="20"/>
          <w:lang w:val="zh-CN" w:eastAsia="zh-CN"/>
        </w:rPr>
        <w:t>关键词：</w:t>
      </w:r>
      <w:r>
        <w:rPr>
          <w:rFonts w:ascii="STSong" w:hAnsi="STSong" w:eastAsia="STSong" w:cs="STSong" w:hint="eastAsia"/>
          <w:b w:val="0"/>
          <w:i w:val="0"/>
          <w:color w:val="202124"/>
          <w:sz w:val="20"/>
          <w:lang w:val="zh-CN" w:eastAsia="zh-CN"/>
        </w:rPr>
        <w:t xml:space="preserve"> 性别差异；社交媒体；信息领域参与；公共事务；明星文化；微博</w:t>
      </w:r>
    </w:p>
    <w:p>
      <w:pPr>
        <w:pStyle w:val="Heading1"/>
      </w:pPr>
      <w:r>
        <w:t>一、问题的提出</w:t>
      </w:r>
    </w:p>
    <w:p>
      <w:pPr>
        <w:keepLines/>
        <w:spacing w:lineRule="auto" w:line="324" w:after="120"/>
        <w:ind w:firstLine="420"/>
        <w:jc w:val="both"/>
      </w:pPr>
      <w:r>
        <w:rPr>
          <w:rFonts w:ascii="STSong" w:hAnsi="STSong" w:eastAsia="STSong" w:cs="STSong" w:hint="eastAsia"/>
          <w:b w:val="0"/>
          <w:i w:val="0"/>
          <w:color w:val="202124"/>
          <w:sz w:val="21"/>
          <w:lang w:val="zh-CN" w:eastAsia="zh-CN"/>
        </w:rPr>
        <w:t>公共政策、社会事件、明星动态和文化产品持续出现在社交媒体的信息流中。用户可以转发机构账号，评论既有内容，也可以发布原创帖子。传统大众媒介中相对分离的新闻、娱乐和人际交流由此进入同一平台界面。平台提供了共同入口，却不必然形成共同的信息经验。用户实际传播哪些来源、公开谈论哪些对象，以及这些行为是否具有稳定的性别差异，是理解平台社会分化的基础问题。</w:t>
      </w:r>
    </w:p>
    <w:p>
      <w:pPr>
        <w:keepLines/>
        <w:spacing w:lineRule="auto" w:line="324" w:after="120"/>
        <w:ind w:firstLine="420"/>
        <w:jc w:val="both"/>
      </w:pPr>
      <w:r>
        <w:rPr>
          <w:rFonts w:ascii="STSong" w:hAnsi="STSong" w:eastAsia="STSong" w:cs="STSong" w:hint="eastAsia"/>
          <w:b w:val="0"/>
          <w:i w:val="0"/>
          <w:color w:val="202124"/>
          <w:sz w:val="21"/>
          <w:lang w:val="zh-CN" w:eastAsia="zh-CN"/>
        </w:rPr>
        <w:t>政治兴趣与政治参与研究长期发现男女差异。女性在一般政治兴趣、政治知识和政治效能感上的平均水平通常低于男性，但这种差异会随议题范围和参与形式改变（Verba、Burns和Schlozman，1997；Coffé，2013；Ferrín等，2020）。女性对地方事务、社会政策和私人化行动的参与并不必然较低。笼统的“政治兴趣”因而可能把国家政治和制度议题置于中心，同时遮蔽日常生活中的具体公共关切。</w:t>
      </w:r>
    </w:p>
    <w:p>
      <w:pPr>
        <w:keepLines/>
        <w:spacing w:lineRule="auto" w:line="324" w:after="120"/>
        <w:ind w:firstLine="420"/>
        <w:jc w:val="both"/>
      </w:pPr>
      <w:r>
        <w:rPr>
          <w:rFonts w:ascii="STSong" w:hAnsi="STSong" w:eastAsia="STSong" w:cs="STSong" w:hint="eastAsia"/>
          <w:b w:val="0"/>
          <w:i w:val="0"/>
          <w:color w:val="202124"/>
          <w:sz w:val="21"/>
          <w:lang w:val="zh-CN" w:eastAsia="zh-CN"/>
        </w:rPr>
        <w:t>数字平台进一步改变了参与的可见性。公开发帖会面对熟人、陌生人和潜在冲突，不同平台因而呈现不同程度的政治表达性别差距（Bode，2017；Koc-Michalska等，2021）。转发和发帖记录不能直接测量私人兴趣，却能够显示用户实施了哪些可见行为。本文据此把研究对象限定为“信息领域参与”，即用户围绕特定来源和议题留下的公开传播与表达痕迹。</w:t>
      </w:r>
    </w:p>
    <w:p>
      <w:pPr>
        <w:keepLines/>
        <w:spacing w:lineRule="auto" w:line="324" w:after="120"/>
        <w:ind w:firstLine="420"/>
        <w:jc w:val="both"/>
      </w:pPr>
      <w:r>
        <w:rPr>
          <w:rFonts w:ascii="STSong" w:hAnsi="STSong" w:eastAsia="STSong" w:cs="STSong" w:hint="eastAsia"/>
          <w:b w:val="0"/>
          <w:i w:val="0"/>
          <w:color w:val="202124"/>
          <w:sz w:val="21"/>
          <w:lang w:val="zh-CN" w:eastAsia="zh-CN"/>
        </w:rPr>
        <w:t>现有研究较多考察新闻使用或政治表达，对平台中同样重要的明星文化关注不足。中国网络粉丝通过转发、评论和内容生产维持社群、生产可见度并参与文化产品的分发过程（Yin，2020；Zhang和Negus，2020；He和Li，2023）。如果只观察公共事务，女性较少发布公共内容容易被概括为总体参与不足；如果把明星活动统称为娱乐偏好，又会忽略其中的组织、身份与文化劳动。把公共事务和明星文化放在同一批用户中比较，能够判断性别差异究竟表现为总体参与多少，还是表现为参与领域与行为方式的分化。</w:t>
      </w:r>
    </w:p>
    <w:p>
      <w:pPr>
        <w:keepLines/>
        <w:spacing w:lineRule="auto" w:line="324" w:after="120"/>
        <w:ind w:firstLine="420"/>
        <w:jc w:val="both"/>
      </w:pPr>
      <w:r>
        <w:rPr>
          <w:rFonts w:ascii="STSong" w:hAnsi="STSong" w:eastAsia="STSong" w:cs="STSong" w:hint="eastAsia"/>
          <w:b w:val="0"/>
          <w:i w:val="0"/>
          <w:color w:val="202124"/>
          <w:sz w:val="21"/>
          <w:lang w:val="zh-CN" w:eastAsia="zh-CN"/>
        </w:rPr>
        <w:t>本文回答三个问题。第一，男性编码和女性编码个人账号进入公共事务与明星文化领域的概率是否不同？第二，这种差异在来源传播和内容表达之间是否具有不同幅度？第三，将机构账号纳入分析后，平台账号构成如何改变观察到的性别差异？研究使用同一批账号、同一观察期和两套并行指标，直接估计“性别×信息领域”差异。本文不以数字痕迹推断个体内在兴趣，也不把观察性关联解释为性别造成的因果效应。</w:t>
      </w:r>
    </w:p>
    <w:p>
      <w:pPr>
        <w:pStyle w:val="Heading1"/>
      </w:pPr>
      <w:r>
        <w:t>二、文献与分析框架</w:t>
      </w:r>
    </w:p>
    <w:p>
      <w:pPr>
        <w:pStyle w:val="Heading2"/>
      </w:pPr>
      <w:r>
        <w:t>（一）从政治兴趣差距到领域化参与</w:t>
      </w:r>
    </w:p>
    <w:p>
      <w:pPr>
        <w:keepLines/>
        <w:spacing w:lineRule="auto" w:line="324" w:after="120"/>
        <w:ind w:firstLine="420"/>
        <w:jc w:val="both"/>
      </w:pPr>
      <w:r>
        <w:rPr>
          <w:rFonts w:ascii="STSong" w:hAnsi="STSong" w:eastAsia="STSong" w:cs="STSong" w:hint="eastAsia"/>
          <w:b w:val="0"/>
          <w:i w:val="0"/>
          <w:color w:val="202124"/>
          <w:sz w:val="21"/>
          <w:lang w:val="zh-CN" w:eastAsia="zh-CN"/>
        </w:rPr>
        <w:t>政治兴趣既是公共信息接触的动机，也是政治参与的重要前置条件。既有研究显示，性别差距无法完全由教育、收入和可支配时间解释，并在较早的社会化阶段形成（Bennett和Bennett，1989；Fraile等，2020）。不过，政治兴趣并非单一对象。Coffé（2013）区分地方、国家和国际议题后发现，男女在地方议题上的差异很小；Ferrín等（2020）让受访者报告具体关心的问题后，一般政治兴趣中的性别差距也明显缩小。测量将哪些内容划入“政治”，会直接影响性别差异的大小。</w:t>
      </w:r>
    </w:p>
    <w:p>
      <w:pPr>
        <w:keepLines/>
        <w:spacing w:lineRule="auto" w:line="324" w:after="120"/>
        <w:ind w:firstLine="420"/>
        <w:jc w:val="both"/>
      </w:pPr>
      <w:r>
        <w:rPr>
          <w:rFonts w:ascii="STSong" w:hAnsi="STSong" w:eastAsia="STSong" w:cs="STSong" w:hint="eastAsia"/>
          <w:b w:val="0"/>
          <w:i w:val="0"/>
          <w:color w:val="202124"/>
          <w:sz w:val="21"/>
          <w:lang w:val="zh-CN" w:eastAsia="zh-CN"/>
        </w:rPr>
        <w:t>高选择媒介环境又使新闻接触更依赖既有偏好。媒介选择增加后，新闻偏好者与娱乐偏好者在知识和投票上的差距扩大（Prior，2005），政治兴趣对新闻消费的影响也会随选择空间扩张而增强（Strömbäck、Djerf-Pierre和Shehata，2013）。公共连接研究因此强调，应把媒介接触、注意、公共取向和实际行动区分开来（Couldry、Livingstone和Markham，2007）。本文沿用这一边界：公共事务信息参与是媒介化公共连接的一种可见行为，不等于完整的政治兴趣或政治参与。</w:t>
      </w:r>
    </w:p>
    <w:p>
      <w:pPr>
        <w:pStyle w:val="Heading2"/>
      </w:pPr>
      <w:r>
        <w:t>（二）来源传播与内容表达</w:t>
      </w:r>
    </w:p>
    <w:p>
      <w:pPr>
        <w:keepLines/>
        <w:spacing w:lineRule="auto" w:line="324" w:after="120"/>
        <w:ind w:firstLine="420"/>
        <w:jc w:val="both"/>
      </w:pPr>
      <w:r>
        <w:rPr>
          <w:rFonts w:ascii="STSong" w:hAnsi="STSong" w:eastAsia="STSong" w:cs="STSong" w:hint="eastAsia"/>
          <w:b w:val="0"/>
          <w:i w:val="0"/>
          <w:color w:val="202124"/>
          <w:sz w:val="21"/>
          <w:lang w:val="zh-CN" w:eastAsia="zh-CN"/>
        </w:rPr>
        <w:t>社交媒体参与包含不同的公开程度和行为成本。转发把既有信息带入用户的关系网络，内容表达则把议题写入用户自己的可见文字。前者回答“用户帮助谁传播”，后者回答“用户公开谈论什么”。同一来源可能发布跨领域内容，一条领域表达也可能没有转发任何制度化来源，因此两个指标不能互相替代。</w:t>
      </w:r>
    </w:p>
    <w:p>
      <w:pPr>
        <w:keepLines/>
        <w:spacing w:lineRule="auto" w:line="324" w:after="120"/>
        <w:ind w:firstLine="420"/>
        <w:jc w:val="both"/>
      </w:pPr>
      <w:r>
        <w:rPr>
          <w:rFonts w:ascii="STSong" w:hAnsi="STSong" w:eastAsia="STSong" w:cs="STSong" w:hint="eastAsia"/>
          <w:b w:val="0"/>
          <w:i w:val="0"/>
          <w:color w:val="202124"/>
          <w:sz w:val="21"/>
          <w:lang w:val="zh-CN" w:eastAsia="zh-CN"/>
        </w:rPr>
        <w:t>性别差异可能随参与方式改变。女性可能减少高可见度、容易引发冲突的政治表达，但未必减少全部公共信息接触（Bode，2017）。与此同时，算法推断、朋友网络和内容生产者共同塑造用户能够看到的信息（Thorson等，2021）。本文没有曝光日志，无法区分“未看到”“看到但未行动”和“行动但未被采集”。研究结果只描述被数据库观察到的传播与表达。</w:t>
      </w:r>
    </w:p>
    <w:p>
      <w:pPr>
        <w:pStyle w:val="Heading2"/>
      </w:pPr>
      <w:r>
        <w:t>（三）明星文化作为独立的信息领域</w:t>
      </w:r>
    </w:p>
    <w:p>
      <w:pPr>
        <w:keepLines/>
        <w:spacing w:lineRule="auto" w:line="324" w:after="120"/>
        <w:ind w:firstLine="420"/>
        <w:jc w:val="both"/>
      </w:pPr>
      <w:r>
        <w:rPr>
          <w:rFonts w:ascii="STSong" w:hAnsi="STSong" w:eastAsia="STSong" w:cs="STSong" w:hint="eastAsia"/>
          <w:b w:val="0"/>
          <w:i w:val="0"/>
          <w:color w:val="202124"/>
          <w:sz w:val="21"/>
          <w:lang w:val="zh-CN" w:eastAsia="zh-CN"/>
        </w:rPr>
        <w:t>明星文化由娱乐产业、粉丝社群和平台指标共同组织。粉丝的数据化实践将点赞、评论、转发和榜单劳动连接为集体行动（Yin，2020；He和Li，2023）。刘太石（2025）对B站青年文化趣味的研究也表明，平台痕迹可以揭示文化趣味的多元性、均匀性与社会区隔。明星相关行为因此应作为独立文化领域观察，而不能仅作为公共事务参与的剩余类别。</w:t>
      </w:r>
    </w:p>
    <w:p>
      <w:pPr>
        <w:keepLines/>
        <w:spacing w:lineRule="auto" w:line="324" w:after="120"/>
        <w:ind w:firstLine="420"/>
        <w:jc w:val="both"/>
      </w:pPr>
      <w:r>
        <w:rPr>
          <w:rFonts w:ascii="STSong" w:hAnsi="STSong" w:eastAsia="STSong" w:cs="STSong" w:hint="eastAsia"/>
          <w:b w:val="0"/>
          <w:i w:val="0"/>
          <w:color w:val="202124"/>
          <w:sz w:val="21"/>
          <w:lang w:val="zh-CN" w:eastAsia="zh-CN"/>
        </w:rPr>
        <w:t>本文所称明星文化，特指以明星姓名和演艺认证来源为边界的可见参与。它不等于全部流行文化，也不能覆盖影视类型、游戏、动漫、体育和生活方式。公共事务与明星文化同样不是逻辑反义词：用户可以同时参与两个领域，也可以都不参与。分析的核心不是把两个领域强制排列为“高低文化”，而是比较同一性别差异在两个领域中的方向和幅度。</w:t>
      </w:r>
    </w:p>
    <w:p>
      <w:pPr>
        <w:pStyle w:val="Heading2"/>
      </w:pPr>
      <w:r>
        <w:t>（四）研究预期</w:t>
      </w:r>
    </w:p>
    <w:p>
      <w:pPr>
        <w:keepLines/>
        <w:spacing w:lineRule="auto" w:line="324" w:after="120"/>
        <w:ind w:firstLine="420"/>
        <w:jc w:val="both"/>
      </w:pPr>
      <w:r>
        <w:rPr>
          <w:rFonts w:ascii="STSong" w:hAnsi="STSong" w:eastAsia="STSong" w:cs="STSong" w:hint="eastAsia"/>
          <w:b w:val="0"/>
          <w:i w:val="0"/>
          <w:color w:val="202124"/>
          <w:sz w:val="21"/>
          <w:lang w:val="zh-CN" w:eastAsia="zh-CN"/>
        </w:rPr>
        <w:t>既有研究支持三项经验预期。其一，男性编码账号相对更多进入公共事务，女性编码账号相对更多进入明星文化。其二，内容表达承载更强的身份呈现和受众评价，两个领域的性别距离可能大于来源转发。其三，机构账号承担组织化的信息生产和传播任务；若平台性别字段将机构账号更多编码为男性，全账号样本中的公共事务差异会大于个人账号样本。三项预期均以描述性比较检验，不预设因果机制。</w:t>
      </w:r>
    </w:p>
    <w:p>
      <w:pPr>
        <w:pStyle w:val="Heading1"/>
      </w:pPr>
      <w:r>
        <w:t>三、数据、变量与方法</w:t>
      </w:r>
    </w:p>
    <w:p>
      <w:pPr>
        <w:pStyle w:val="Heading2"/>
      </w:pPr>
      <w:r>
        <w:t>（一）数据与分析对象</w:t>
      </w:r>
    </w:p>
    <w:p>
      <w:pPr>
        <w:keepLines/>
        <w:spacing w:lineRule="auto" w:line="324" w:after="120"/>
        <w:ind w:firstLine="420"/>
        <w:jc w:val="both"/>
      </w:pPr>
      <w:r>
        <w:rPr>
          <w:rFonts w:ascii="STSong" w:hAnsi="STSong" w:eastAsia="STSong" w:cs="STSong" w:hint="eastAsia"/>
          <w:b w:val="0"/>
          <w:i w:val="0"/>
          <w:color w:val="202124"/>
          <w:sz w:val="21"/>
          <w:lang w:val="zh-CN" w:eastAsia="zh-CN"/>
        </w:rPr>
        <w:t>本文使用2020年微博帖子及用户资料。原始文件覆盖1—9月和11—12月，10月缺失。经过帖子匹配和跨文件去重，分析数据库包括225,339个具有可用性别字段的账号和146,811,818条帖子。微博资料中的性别字段只有男性和女性两类。本文将其称为“男性编码”和“女性编码”，因为平台登记值无法覆盖多元性别，也无法证明账号属性与实际使用者身份完全一致。</w:t>
      </w:r>
    </w:p>
    <w:p>
      <w:pPr>
        <w:keepLines/>
        <w:spacing w:lineRule="auto" w:line="324" w:after="120"/>
        <w:ind w:firstLine="420"/>
        <w:jc w:val="both"/>
      </w:pPr>
      <w:r>
        <w:rPr>
          <w:rFonts w:ascii="STSong" w:hAnsi="STSong" w:eastAsia="STSong" w:cs="STSong" w:hint="eastAsia"/>
          <w:b w:val="0"/>
          <w:i w:val="0"/>
          <w:color w:val="202124"/>
          <w:sz w:val="21"/>
          <w:lang w:val="zh-CN" w:eastAsia="zh-CN"/>
        </w:rPr>
        <w:t xml:space="preserve">个人账号样本依据认证类型构造。当前代码将 </w:t>
      </w:r>
      <w:r>
        <w:rPr>
          <w:rFonts w:ascii="STSong" w:hAnsi="STSong" w:eastAsia="STSong" w:cs="STSong" w:hint="eastAsia"/>
          <w:b w:val="0"/>
          <w:i w:val="0"/>
          <w:color w:val="1F435B"/>
          <w:sz w:val="19"/>
          <w:lang w:val="zh-CN" w:eastAsia="zh-CN"/>
        </w:rPr>
        <w:t>verified_type</w:t>
      </w:r>
      <w:r>
        <w:rPr>
          <w:rFonts w:ascii="STSong" w:hAnsi="STSong" w:eastAsia="STSong" w:cs="STSong" w:hint="eastAsia"/>
          <w:b w:val="0"/>
          <w:i w:val="0"/>
          <w:color w:val="202124"/>
          <w:sz w:val="21"/>
          <w:lang w:val="zh-CN" w:eastAsia="zh-CN"/>
        </w:rPr>
        <w:t xml:space="preserve"> 取值1—7的账号识别为机构账号，并从全账号样本中排除15,468个账号，保留209,871个个人账号。其中男性编码账号41,300个，女性编码账号168,571个。被排除的机构账号占男性编码账号的20.3%，占女性编码账号的2.84%。该分类依赖研究者对认证代码的操作化，现阶段缺少微博官方代码表，因此全文将个人账号样本视为“按现有规则识别的个人账号”，并在局限中报告可能的错分。</w:t>
      </w:r>
    </w:p>
    <w:p>
      <w:pPr>
        <w:keepLines/>
        <w:spacing w:lineRule="auto" w:line="324" w:after="120"/>
        <w:ind w:firstLine="420"/>
        <w:jc w:val="both"/>
      </w:pPr>
      <w:r>
        <w:rPr>
          <w:rFonts w:ascii="STSong" w:hAnsi="STSong" w:eastAsia="STSong" w:cs="STSong" w:hint="eastAsia"/>
          <w:b w:val="0"/>
          <w:i w:val="0"/>
          <w:color w:val="202124"/>
          <w:sz w:val="21"/>
          <w:lang w:val="zh-CN" w:eastAsia="zh-CN"/>
        </w:rPr>
        <w:t>来源转发模型使用全部209,871个个人账号。内容比例模型要求账号至少有一条有效文字帖，因而排除992个没有有效文字帖的账号，保留208,879个账号。M2还要求年龄、地区和认证资料完整，来源进入模型保留141,095个账号，内容比例模型保留140,391个账号。M2与M0、M1的系数变化同时包含协变量调整和样本改变，不能单独解释为“控制账号资料后的净变化”。</w:t>
      </w:r>
    </w:p>
    <w:p>
      <w:pPr>
        <w:pStyle w:val="Heading2"/>
      </w:pPr>
      <w:r>
        <w:t>（二）来源传播的测量</w:t>
      </w:r>
    </w:p>
    <w:p>
      <w:pPr>
        <w:keepLines/>
        <w:spacing w:lineRule="auto" w:line="324" w:after="120"/>
        <w:ind w:firstLine="420"/>
        <w:jc w:val="both"/>
      </w:pPr>
      <w:r>
        <w:rPr>
          <w:rFonts w:ascii="STSong" w:hAnsi="STSong" w:eastAsia="STSong" w:cs="STSong" w:hint="eastAsia"/>
          <w:b w:val="0"/>
          <w:i w:val="0"/>
          <w:color w:val="202124"/>
          <w:sz w:val="21"/>
          <w:lang w:val="zh-CN" w:eastAsia="zh-CN"/>
        </w:rPr>
        <w:t>来源传播以实际转发事件为单位。程序首先保留转发记录，再以被转发原帖作者的账号ID匹配来源名单；来源账号自身的转发被排除，同一“用户—原帖—领域”事件在跨文件出现时只保留一次。公共事务来源候选来自2025年互联网新闻信息稿源单位名单，经微博账号匹配后有54个候选账号，其中47个在2020年数据中产生有效事件。明星文化来源由演艺类别认证账号构成，共有216个活跃来源账号。</w:t>
      </w:r>
    </w:p>
    <w:p>
      <w:pPr>
        <w:keepLines/>
        <w:spacing w:lineRule="auto" w:line="324" w:after="120"/>
        <w:ind w:firstLine="420"/>
        <w:jc w:val="both"/>
      </w:pPr>
      <w:r>
        <w:rPr>
          <w:rFonts w:ascii="STSong" w:hAnsi="STSong" w:eastAsia="STSong" w:cs="STSong" w:hint="eastAsia"/>
          <w:b w:val="0"/>
          <w:i w:val="0"/>
          <w:color w:val="202124"/>
          <w:sz w:val="21"/>
          <w:lang w:val="zh-CN" w:eastAsia="zh-CN"/>
        </w:rPr>
        <w:t>对每个账号和每个领域，本文构造“是否至少转发过一次来源”的二元指标。该指标反映进入行为，避免少数高频转发者主导均值。进入后的转发次数、来源占全部转发的比例和转发延迟保留为补充指标。公共来源名单使用2025年名单回溯识别2020年账号，因而只提供统一的候选框；正式外推仍需核验来源在2020年的身份、昵称变更和账号归属。</w:t>
      </w:r>
    </w:p>
    <w:p>
      <w:pPr>
        <w:pStyle w:val="Heading2"/>
      </w:pPr>
      <w:r>
        <w:t>（三）内容表达的测量</w:t>
      </w:r>
    </w:p>
    <w:p>
      <w:pPr>
        <w:keepLines/>
        <w:spacing w:lineRule="auto" w:line="324" w:after="120"/>
        <w:ind w:firstLine="420"/>
        <w:jc w:val="both"/>
      </w:pPr>
      <w:r>
        <w:rPr>
          <w:rFonts w:ascii="STSong" w:hAnsi="STSong" w:eastAsia="STSong" w:cs="STSong" w:hint="eastAsia"/>
          <w:b w:val="0"/>
          <w:i w:val="0"/>
          <w:color w:val="202124"/>
          <w:sz w:val="21"/>
          <w:lang w:val="zh-CN" w:eastAsia="zh-CN"/>
        </w:rPr>
        <w:t xml:space="preserve">内容表达的分母是账号在观察期内发布的有效文字帖。程序先在原始文字中截断字面转发链标记 </w:t>
      </w:r>
      <w:r>
        <w:rPr>
          <w:rFonts w:ascii="STSong" w:hAnsi="STSong" w:eastAsia="STSong" w:cs="STSong" w:hint="eastAsia"/>
          <w:b w:val="0"/>
          <w:i w:val="0"/>
          <w:color w:val="1F435B"/>
          <w:sz w:val="19"/>
          <w:lang w:val="zh-CN" w:eastAsia="zh-CN"/>
        </w:rPr>
        <w:t>//@</w:t>
      </w:r>
      <w:r>
        <w:rPr>
          <w:rFonts w:ascii="STSong" w:hAnsi="STSong" w:eastAsia="STSong" w:cs="STSong" w:hint="eastAsia"/>
          <w:b w:val="0"/>
          <w:i w:val="0"/>
          <w:color w:val="202124"/>
          <w:sz w:val="21"/>
          <w:lang w:val="zh-CN" w:eastAsia="zh-CN"/>
        </w:rPr>
        <w:t>，再清理网址、空白和无意义符号。原创帖和带有新增文字的转发帖均进入分母；纯转发、纯图片、纯链接及清理后没有文字的帖子不进入分母。没有有效文字帖的账号保留缺失值，不写成0。</w:t>
      </w:r>
    </w:p>
    <w:p>
      <w:pPr>
        <w:keepLines/>
        <w:spacing w:lineRule="auto" w:line="324" w:after="120"/>
        <w:ind w:firstLine="420"/>
        <w:jc w:val="both"/>
      </w:pPr>
      <w:r>
        <w:rPr>
          <w:rFonts w:ascii="STSong" w:hAnsi="STSong" w:eastAsia="STSong" w:cs="STSong" w:hint="eastAsia"/>
          <w:b w:val="0"/>
          <w:i w:val="0"/>
          <w:color w:val="202124"/>
          <w:sz w:val="21"/>
          <w:lang w:val="zh-CN" w:eastAsia="zh-CN"/>
        </w:rPr>
        <w:t>公共事务词表包含816个经人工审核的词条，明星词表包含535个经人工审核的姓名。匹配程序按文本位置执行最左最长、区间不重叠的字符串匹配，避免嵌套词重复计数。账号只要在一条有效文字帖中命中至少一个领域词条，该帖子就记为相应领域帖子。同一帖子可以同时属于两个领域。领域帖子比例等于该领域帖子数除以有效文字帖总数，因此两个领域的比例不要求相加为100%。</w:t>
      </w:r>
    </w:p>
    <w:p>
      <w:pPr>
        <w:keepLines/>
        <w:spacing w:lineRule="auto" w:line="324" w:after="120"/>
        <w:ind w:firstLine="420"/>
        <w:jc w:val="both"/>
      </w:pPr>
      <w:r>
        <w:rPr>
          <w:rFonts w:ascii="STSong" w:hAnsi="STSong" w:eastAsia="STSong" w:cs="STSong" w:hint="eastAsia"/>
          <w:b w:val="0"/>
          <w:i w:val="0"/>
          <w:color w:val="202124"/>
          <w:sz w:val="21"/>
          <w:lang w:val="zh-CN" w:eastAsia="zh-CN"/>
        </w:rPr>
        <w:t>词表审核确认的是词条与领域的关系，不等于每次命中都具有目标语境。当前匹配没有中文词边界或命名实体消歧，姓名也可能出现在广告、榜单任务或偶然提及中。计划中的600条分层语境样本尚未完成双人编码，本文因此把内容指标表述为“词表识别的可见表达”，不将其直接解释为主观态度。</w:t>
      </w:r>
    </w:p>
    <w:p>
      <w:pPr>
        <w:pStyle w:val="Heading2"/>
      </w:pPr>
      <w:r>
        <w:t>（四）模型与估计量</w:t>
      </w:r>
    </w:p>
    <w:p>
      <w:pPr>
        <w:keepLines/>
        <w:spacing w:lineRule="auto" w:line="324" w:after="120"/>
        <w:ind w:firstLine="420"/>
        <w:jc w:val="both"/>
      </w:pPr>
      <w:r>
        <w:rPr>
          <w:rFonts w:ascii="STSong" w:hAnsi="STSong" w:eastAsia="STSong" w:cs="STSong" w:hint="eastAsia"/>
          <w:b w:val="0"/>
          <w:i w:val="0"/>
          <w:color w:val="202124"/>
          <w:sz w:val="21"/>
          <w:lang w:val="zh-CN" w:eastAsia="zh-CN"/>
        </w:rPr>
        <w:t>模型分为三个层次。M0只包含性别字段，给出样本中的未调整差异。M1加入全年发帖数、转发数及其变换项，用于比较总体活动机会相近的账号。M2在M1基础上加入年龄、地区和认证资料，但只使用资料完整样本。二元进入结果使用Logit，并报告概率尺度上的平均边际效应；内容比例使用带HC1稳健协方差的分数Logit，允许结果取0或1。所有差异均按“男性编码减女性编码”计算，正值表示男性编码账号更高。</w:t>
      </w:r>
    </w:p>
    <w:p>
      <w:pPr>
        <w:keepLines/>
        <w:spacing w:lineRule="auto" w:line="324" w:after="120"/>
        <w:ind w:firstLine="420"/>
        <w:jc w:val="both"/>
      </w:pPr>
      <w:r>
        <w:rPr>
          <w:rFonts w:ascii="STSong" w:hAnsi="STSong" w:eastAsia="STSong" w:cs="STSong" w:hint="eastAsia"/>
          <w:b w:val="0"/>
          <w:i w:val="0"/>
          <w:color w:val="202124"/>
          <w:sz w:val="21"/>
          <w:lang w:val="zh-CN" w:eastAsia="zh-CN"/>
        </w:rPr>
        <w:t>为直接比较两个领域，程序将每个账号展开为公共事务和明星文化两行，拟合“性别×领域”交互模型，并使用按账号聚类、交换型相关结构的广义估计方程。交互项可写为：</w:t>
      </w:r>
    </w:p>
    <w:p>
      <w:pPr>
        <w:keepLines/>
        <w:spacing w:lineRule="auto" w:line="324" w:after="120"/>
        <w:ind w:firstLine="420"/>
        <w:jc w:val="both"/>
      </w:pPr>
      <w:r>
        <w:rPr>
          <w:rFonts w:ascii="STSong" w:hAnsi="STSong" w:eastAsia="STSong" w:cs="STSong" w:hint="eastAsia"/>
          <w:b w:val="0"/>
          <w:i w:val="0"/>
          <w:color w:val="202124"/>
          <w:sz w:val="21"/>
          <w:lang w:val="zh-CN" w:eastAsia="zh-CN"/>
        </w:rPr>
        <w:t>领域距离＝公共事务中的性别差异－明星文化中的性别差异。</w:t>
      </w:r>
    </w:p>
    <w:p>
      <w:pPr>
        <w:keepLines/>
        <w:spacing w:lineRule="auto" w:line="324" w:after="120"/>
        <w:ind w:firstLine="420"/>
        <w:jc w:val="both"/>
      </w:pPr>
      <w:r>
        <w:rPr>
          <w:rFonts w:ascii="STSong" w:hAnsi="STSong" w:eastAsia="STSong" w:cs="STSong" w:hint="eastAsia"/>
          <w:b w:val="0"/>
          <w:i w:val="0"/>
          <w:color w:val="202124"/>
          <w:sz w:val="21"/>
          <w:lang w:val="zh-CN" w:eastAsia="zh-CN"/>
        </w:rPr>
        <w:t>该估计量回答的是两个差异是否真正不同，而不是分别查看两个模型的显著性。来源进入模型与内容比例模型分别计算领域距离，并报告95%置信区间。</w:t>
      </w:r>
    </w:p>
    <w:p>
      <w:pPr>
        <w:pStyle w:val="Heading2"/>
      </w:pPr>
      <w:r>
        <w:t>（五）计算审计与当前分析边界</w:t>
      </w:r>
    </w:p>
    <w:p>
      <w:pPr>
        <w:keepLines/>
        <w:spacing w:lineRule="auto" w:line="324" w:after="120"/>
        <w:ind w:firstLine="420"/>
        <w:jc w:val="both"/>
      </w:pPr>
      <w:r>
        <w:rPr>
          <w:rFonts w:ascii="STSong" w:hAnsi="STSong" w:eastAsia="STSong" w:cs="STSong" w:hint="eastAsia"/>
          <w:b w:val="0"/>
          <w:i w:val="0"/>
          <w:color w:val="202124"/>
          <w:sz w:val="21"/>
          <w:lang w:val="zh-CN" w:eastAsia="zh-CN"/>
        </w:rPr>
        <w:t>代码审计确认了文本清理、来源事件去重、零分母处理、平均边际效应、分数Logit和领域交互的实现。</w:t>
      </w:r>
      <w:r>
        <w:rPr>
          <w:rFonts w:ascii="STSong" w:hAnsi="STSong" w:eastAsia="STSong" w:cs="STSong" w:hint="eastAsia"/>
          <w:b w:val="0"/>
          <w:i w:val="0"/>
          <w:color w:val="1F435B"/>
          <w:sz w:val="19"/>
          <w:lang w:val="zh-CN" w:eastAsia="zh-CN"/>
        </w:rPr>
        <w:t>gender_domain/tests</w:t>
      </w:r>
      <w:r>
        <w:rPr>
          <w:rFonts w:ascii="STSong" w:hAnsi="STSong" w:eastAsia="STSong" w:cs="STSong" w:hint="eastAsia"/>
          <w:b w:val="0"/>
          <w:i w:val="0"/>
          <w:color w:val="202124"/>
          <w:sz w:val="21"/>
          <w:lang w:val="zh-CN" w:eastAsia="zh-CN"/>
        </w:rPr>
        <w:t xml:space="preserve"> 的753项测试全部通过。审计同时发现三项会影响扩展结果的边界。</w:t>
      </w:r>
    </w:p>
    <w:p>
      <w:pPr>
        <w:keepLines/>
        <w:spacing w:lineRule="auto" w:line="324" w:after="120"/>
        <w:ind w:firstLine="420"/>
        <w:jc w:val="both"/>
      </w:pPr>
      <w:r>
        <w:rPr>
          <w:rFonts w:ascii="STSong" w:hAnsi="STSong" w:eastAsia="STSong" w:cs="STSong" w:hint="eastAsia"/>
          <w:b w:val="0"/>
          <w:i w:val="0"/>
          <w:color w:val="202124"/>
          <w:sz w:val="21"/>
          <w:lang w:val="zh-CN" w:eastAsia="zh-CN"/>
        </w:rPr>
        <w:t>第一，</w:t>
      </w:r>
      <w:r>
        <w:rPr>
          <w:rFonts w:ascii="STSong" w:hAnsi="STSong" w:eastAsia="STSong" w:cs="STSong" w:hint="eastAsia"/>
          <w:b w:val="0"/>
          <w:i w:val="0"/>
          <w:color w:val="1F435B"/>
          <w:sz w:val="19"/>
          <w:lang w:val="zh-CN" w:eastAsia="zh-CN"/>
        </w:rPr>
        <w:t>slurm/run_all.slurm</w:t>
      </w:r>
      <w:r>
        <w:rPr>
          <w:rFonts w:ascii="STSong" w:hAnsi="STSong" w:eastAsia="STSong" w:cs="STSong" w:hint="eastAsia"/>
          <w:b w:val="0"/>
          <w:i w:val="0"/>
          <w:color w:val="202124"/>
          <w:sz w:val="21"/>
          <w:lang w:val="zh-CN" w:eastAsia="zh-CN"/>
        </w:rPr>
        <w:t xml:space="preserve"> 的主结果阶段读取225,339个全账号，个人账号结果由稳健性模块中的排除机构变体生成。本文重新从该个人账号结果生成主表和主图；旧版全账号图片不再作为个人账号证据。第二，帖子表和转发表的月份来自文件名，而不是帖子时间戳。转发时间戳日期与文件名日期在各分片中的不一致率约为49%—76%，因此本文暂不报告月度稳定性、活跃月份、参与持续性和留一月份检验。第三，现有结果manifest均记录为脏工作区，同一 </w:t>
      </w:r>
      <w:r>
        <w:rPr>
          <w:rFonts w:ascii="STSong" w:hAnsi="STSong" w:eastAsia="STSong" w:cs="STSong" w:hint="eastAsia"/>
          <w:b w:val="0"/>
          <w:i w:val="0"/>
          <w:color w:val="1F435B"/>
          <w:sz w:val="19"/>
          <w:lang w:val="zh-CN" w:eastAsia="zh-CN"/>
        </w:rPr>
        <w:t>run_id</w:t>
      </w:r>
      <w:r>
        <w:rPr>
          <w:rFonts w:ascii="STSong" w:hAnsi="STSong" w:eastAsia="STSong" w:cs="STSong" w:hint="eastAsia"/>
          <w:b w:val="0"/>
          <w:i w:val="0"/>
          <w:color w:val="202124"/>
          <w:sz w:val="21"/>
          <w:lang w:val="zh-CN" w:eastAsia="zh-CN"/>
        </w:rPr>
        <w:t xml:space="preserve"> 下还出现两个Git版本。四项个人账号核心估计已经由结果表逐项复核，但正式投稿前仍需在干净提交上重跑完整个人账号流水线并保存代码、词表和来源名单指纹。</w:t>
      </w:r>
    </w:p>
    <w:p>
      <w:pPr>
        <w:pStyle w:val="Heading1"/>
      </w:pPr>
      <w:r>
        <w:t>四、研究结果</w:t>
      </w:r>
    </w:p>
    <w:p>
      <w:pPr>
        <w:pStyle w:val="Heading2"/>
      </w:pPr>
      <w:r>
        <w:t>（一）未调整差异呈现相反的领域方向</w:t>
      </w:r>
    </w:p>
    <w:p>
      <w:pPr>
        <w:keepLines/>
        <w:spacing w:lineRule="auto" w:line="324" w:after="120"/>
        <w:ind w:firstLine="420"/>
        <w:jc w:val="both"/>
      </w:pPr>
      <w:r>
        <w:rPr>
          <w:rFonts w:ascii="STSong" w:hAnsi="STSong" w:eastAsia="STSong" w:cs="STSong" w:hint="eastAsia"/>
          <w:b w:val="0"/>
          <w:i w:val="0"/>
          <w:color w:val="202124"/>
          <w:sz w:val="21"/>
          <w:lang w:val="zh-CN" w:eastAsia="zh-CN"/>
        </w:rPr>
        <w:t>个人账号的M0结果显示，男性编码账号转发公共事务来源的概率比女性编码账号高0.93个百分点，转发演艺来源的概率低1.57个百分点。内容表达的差异更大：男性编码账号的公共事务帖子比例高5.27个百分点，明星帖子比例低3.34个百分点。四项指标在两个领域中均呈相反方向。</w:t>
      </w:r>
    </w:p>
    <w:tbl>
      <w:tblPr>
        <w:tblStyle w:val="TableGrid"/>
        <w:tblW w:type="dxa" w:w="9360"/>
        <w:jc w:val="center"/>
        <w:tblLayout w:type="fixed"/>
        <w:tblLook w:firstColumn="1" w:firstRow="1" w:lastColumn="0" w:lastRow="0" w:noHBand="0" w:noVBand="1" w:val="04A0"/>
      </w:tblPr>
      <w:tblGrid>
        <w:gridCol w:w="1930"/>
        <w:gridCol w:w="1930"/>
        <w:gridCol w:w="1930"/>
        <w:gridCol w:w="1930"/>
        <w:gridCol w:w="1930"/>
      </w:tblGrid>
      <w:tr>
        <w:trPr>
          <w:tblHeader w:val="true"/>
        </w:trPr>
        <w:tc>
          <w:tcPr>
            <w:tcW w:type="dxa" w:w="1250"/>
            <w:tcMar>
              <w:top w:w="80" w:type="dxa"/>
              <w:start w:w="90" w:type="dxa"/>
              <w:bottom w:w="80" w:type="dxa"/>
              <w:end w:w="90" w:type="dxa"/>
            </w:tcMar>
            <w:vAlign w:val="center"/>
            <w:shd w:fill="2E5D7B"/>
          </w:tcPr>
          <w:p>
            <w:pPr>
              <w:spacing w:after="0" w:line="264" w:lineRule="auto"/>
              <w:jc w:val="left"/>
            </w:pPr>
            <w:r>
              <w:rPr>
                <w:rFonts w:ascii="STSong" w:hAnsi="STSong" w:eastAsia="STSong" w:cs="STSong" w:hint="eastAsia"/>
                <w:b/>
                <w:i w:val="0"/>
                <w:color w:val="FFFFFF"/>
                <w:sz w:val="16"/>
                <w:lang w:val="zh-CN" w:eastAsia="zh-CN"/>
              </w:rPr>
              <w:t>参与方式</w:t>
            </w:r>
          </w:p>
        </w:tc>
        <w:tc>
          <w:tcPr>
            <w:tcW w:type="dxa" w:w="2400"/>
            <w:tcMar>
              <w:top w:w="80" w:type="dxa"/>
              <w:start w:w="90" w:type="dxa"/>
              <w:bottom w:w="80" w:type="dxa"/>
              <w:end w:w="90" w:type="dxa"/>
            </w:tcMar>
            <w:vAlign w:val="center"/>
            <w:shd w:fill="2E5D7B"/>
          </w:tcPr>
          <w:p>
            <w:pPr>
              <w:spacing w:after="0" w:line="264" w:lineRule="auto"/>
              <w:jc w:val="center"/>
            </w:pPr>
            <w:r>
              <w:rPr>
                <w:rFonts w:ascii="STSong" w:hAnsi="STSong" w:eastAsia="STSong" w:cs="STSong" w:hint="eastAsia"/>
                <w:b/>
                <w:i w:val="0"/>
                <w:color w:val="FFFFFF"/>
                <w:sz w:val="16"/>
                <w:lang w:val="zh-CN" w:eastAsia="zh-CN"/>
              </w:rPr>
              <w:t>结果指标</w:t>
            </w:r>
          </w:p>
        </w:tc>
        <w:tc>
          <w:tcPr>
            <w:tcW w:type="dxa" w:w="2100"/>
            <w:tcMar>
              <w:top w:w="80" w:type="dxa"/>
              <w:start w:w="90" w:type="dxa"/>
              <w:bottom w:w="80" w:type="dxa"/>
              <w:end w:w="90" w:type="dxa"/>
            </w:tcMar>
            <w:vAlign w:val="center"/>
            <w:shd w:fill="2E5D7B"/>
          </w:tcPr>
          <w:p>
            <w:pPr>
              <w:spacing w:after="0" w:line="264" w:lineRule="auto"/>
              <w:jc w:val="center"/>
            </w:pPr>
            <w:r>
              <w:rPr>
                <w:rFonts w:ascii="STSong" w:hAnsi="STSong" w:eastAsia="STSong" w:cs="STSong" w:hint="eastAsia"/>
                <w:b/>
                <w:i w:val="0"/>
                <w:color w:val="FFFFFF"/>
                <w:sz w:val="16"/>
                <w:lang w:val="zh-CN" w:eastAsia="zh-CN"/>
              </w:rPr>
              <w:t>公共事务：男性－女性（百分点）</w:t>
            </w:r>
          </w:p>
        </w:tc>
        <w:tc>
          <w:tcPr>
            <w:tcW w:type="dxa" w:w="2100"/>
            <w:tcMar>
              <w:top w:w="80" w:type="dxa"/>
              <w:start w:w="90" w:type="dxa"/>
              <w:bottom w:w="80" w:type="dxa"/>
              <w:end w:w="90" w:type="dxa"/>
            </w:tcMar>
            <w:vAlign w:val="center"/>
            <w:shd w:fill="2E5D7B"/>
          </w:tcPr>
          <w:p>
            <w:pPr>
              <w:spacing w:after="0" w:line="264" w:lineRule="auto"/>
              <w:jc w:val="center"/>
            </w:pPr>
            <w:r>
              <w:rPr>
                <w:rFonts w:ascii="STSong" w:hAnsi="STSong" w:eastAsia="STSong" w:cs="STSong" w:hint="eastAsia"/>
                <w:b/>
                <w:i w:val="0"/>
                <w:color w:val="FFFFFF"/>
                <w:sz w:val="16"/>
                <w:lang w:val="zh-CN" w:eastAsia="zh-CN"/>
              </w:rPr>
              <w:t>明星文化：男性－女性（百分点）</w:t>
            </w:r>
          </w:p>
        </w:tc>
        <w:tc>
          <w:tcPr>
            <w:tcW w:type="dxa" w:w="1510"/>
            <w:tcMar>
              <w:top w:w="80" w:type="dxa"/>
              <w:start w:w="90" w:type="dxa"/>
              <w:bottom w:w="80" w:type="dxa"/>
              <w:end w:w="90" w:type="dxa"/>
            </w:tcMar>
            <w:vAlign w:val="center"/>
            <w:shd w:fill="2E5D7B"/>
          </w:tcPr>
          <w:p>
            <w:pPr>
              <w:spacing w:after="0" w:line="264" w:lineRule="auto"/>
              <w:jc w:val="center"/>
            </w:pPr>
            <w:r>
              <w:rPr>
                <w:rFonts w:ascii="STSong" w:hAnsi="STSong" w:eastAsia="STSong" w:cs="STSong" w:hint="eastAsia"/>
                <w:b/>
                <w:i w:val="0"/>
                <w:color w:val="FFFFFF"/>
                <w:sz w:val="16"/>
                <w:lang w:val="zh-CN" w:eastAsia="zh-CN"/>
              </w:rPr>
              <w:t>模型样本量</w:t>
            </w:r>
          </w:p>
        </w:tc>
      </w:tr>
      <w:tr>
        <w:trPr/>
        <w:tc>
          <w:tcPr>
            <w:tcW w:type="dxa" w:w="1250"/>
            <w:tcMar>
              <w:top w:w="80" w:type="dxa"/>
              <w:start w:w="90" w:type="dxa"/>
              <w:bottom w:w="80" w:type="dxa"/>
              <w:end w:w="90" w:type="dxa"/>
            </w:tcMar>
            <w:vAlign w:val="center"/>
          </w:tcPr>
          <w:p>
            <w:pPr>
              <w:spacing w:after="0" w:line="264" w:lineRule="auto"/>
              <w:jc w:val="left"/>
            </w:pPr>
            <w:r>
              <w:rPr>
                <w:rFonts w:ascii="STSong" w:hAnsi="STSong" w:eastAsia="STSong" w:cs="STSong" w:hint="eastAsia"/>
                <w:b w:val="0"/>
                <w:i w:val="0"/>
                <w:color w:val="202124"/>
                <w:sz w:val="16"/>
                <w:lang w:val="zh-CN" w:eastAsia="zh-CN"/>
              </w:rPr>
              <w:t>来源传播</w:t>
            </w:r>
          </w:p>
        </w:tc>
        <w:tc>
          <w:tcPr>
            <w:tcW w:type="dxa" w:w="2400"/>
            <w:tcMar>
              <w:top w:w="80" w:type="dxa"/>
              <w:start w:w="90" w:type="dxa"/>
              <w:bottom w:w="80" w:type="dxa"/>
              <w:end w:w="90" w:type="dxa"/>
            </w:tcMar>
            <w:vAlign w:val="center"/>
          </w:tcPr>
          <w:p>
            <w:pPr>
              <w:spacing w:after="0" w:line="264" w:lineRule="auto"/>
              <w:jc w:val="center"/>
            </w:pPr>
            <w:r>
              <w:rPr>
                <w:rFonts w:ascii="STSong" w:hAnsi="STSong" w:eastAsia="STSong" w:cs="STSong" w:hint="eastAsia"/>
                <w:b w:val="0"/>
                <w:i w:val="0"/>
                <w:color w:val="202124"/>
                <w:sz w:val="16"/>
                <w:lang w:val="zh-CN" w:eastAsia="zh-CN"/>
              </w:rPr>
              <w:t>是否转发过领域来源</w:t>
            </w:r>
          </w:p>
        </w:tc>
        <w:tc>
          <w:tcPr>
            <w:tcW w:type="dxa" w:w="2100"/>
            <w:tcMar>
              <w:top w:w="80" w:type="dxa"/>
              <w:start w:w="90" w:type="dxa"/>
              <w:bottom w:w="80" w:type="dxa"/>
              <w:end w:w="90" w:type="dxa"/>
            </w:tcMar>
            <w:vAlign w:val="center"/>
          </w:tcPr>
          <w:p>
            <w:pPr>
              <w:spacing w:after="0" w:line="264" w:lineRule="auto"/>
              <w:jc w:val="center"/>
            </w:pPr>
            <w:r>
              <w:rPr>
                <w:rFonts w:ascii="STSong" w:hAnsi="STSong" w:eastAsia="STSong" w:cs="STSong" w:hint="eastAsia"/>
                <w:b w:val="0"/>
                <w:i w:val="0"/>
                <w:color w:val="202124"/>
                <w:sz w:val="16"/>
                <w:lang w:val="zh-CN" w:eastAsia="zh-CN"/>
              </w:rPr>
              <w:t>0.93</w:t>
            </w:r>
          </w:p>
        </w:tc>
        <w:tc>
          <w:tcPr>
            <w:tcW w:type="dxa" w:w="2100"/>
            <w:tcMar>
              <w:top w:w="80" w:type="dxa"/>
              <w:start w:w="90" w:type="dxa"/>
              <w:bottom w:w="80" w:type="dxa"/>
              <w:end w:w="90" w:type="dxa"/>
            </w:tcMar>
            <w:vAlign w:val="center"/>
          </w:tcPr>
          <w:p>
            <w:pPr>
              <w:spacing w:after="0" w:line="264" w:lineRule="auto"/>
              <w:jc w:val="center"/>
            </w:pPr>
            <w:r>
              <w:rPr>
                <w:rFonts w:ascii="STSong" w:hAnsi="STSong" w:eastAsia="STSong" w:cs="STSong" w:hint="eastAsia"/>
                <w:b w:val="0"/>
                <w:i w:val="0"/>
                <w:color w:val="202124"/>
                <w:sz w:val="16"/>
                <w:lang w:val="zh-CN" w:eastAsia="zh-CN"/>
              </w:rPr>
              <w:t>-1.57</w:t>
            </w:r>
          </w:p>
        </w:tc>
        <w:tc>
          <w:tcPr>
            <w:tcW w:type="dxa" w:w="1510"/>
            <w:tcMar>
              <w:top w:w="80" w:type="dxa"/>
              <w:start w:w="90" w:type="dxa"/>
              <w:bottom w:w="80" w:type="dxa"/>
              <w:end w:w="90" w:type="dxa"/>
            </w:tcMar>
            <w:vAlign w:val="center"/>
          </w:tcPr>
          <w:p>
            <w:pPr>
              <w:spacing w:after="0" w:line="264" w:lineRule="auto"/>
              <w:jc w:val="center"/>
            </w:pPr>
            <w:r>
              <w:rPr>
                <w:rFonts w:ascii="STSong" w:hAnsi="STSong" w:eastAsia="STSong" w:cs="STSong" w:hint="eastAsia"/>
                <w:b w:val="0"/>
                <w:i w:val="0"/>
                <w:color w:val="202124"/>
                <w:sz w:val="16"/>
                <w:lang w:val="zh-CN" w:eastAsia="zh-CN"/>
              </w:rPr>
              <w:t>209,871</w:t>
            </w:r>
          </w:p>
        </w:tc>
      </w:tr>
      <w:tr>
        <w:trPr/>
        <w:tc>
          <w:tcPr>
            <w:tcW w:type="dxa" w:w="1250"/>
            <w:tcMar>
              <w:top w:w="80" w:type="dxa"/>
              <w:start w:w="90" w:type="dxa"/>
              <w:bottom w:w="80" w:type="dxa"/>
              <w:end w:w="90" w:type="dxa"/>
            </w:tcMar>
            <w:vAlign w:val="center"/>
            <w:shd w:fill="F4F6F7"/>
          </w:tcPr>
          <w:p>
            <w:pPr>
              <w:spacing w:after="0" w:line="264" w:lineRule="auto"/>
              <w:jc w:val="left"/>
            </w:pPr>
            <w:r>
              <w:rPr>
                <w:rFonts w:ascii="STSong" w:hAnsi="STSong" w:eastAsia="STSong" w:cs="STSong" w:hint="eastAsia"/>
                <w:b w:val="0"/>
                <w:i w:val="0"/>
                <w:color w:val="202124"/>
                <w:sz w:val="16"/>
                <w:lang w:val="zh-CN" w:eastAsia="zh-CN"/>
              </w:rPr>
              <w:t>内容表达</w:t>
            </w:r>
          </w:p>
        </w:tc>
        <w:tc>
          <w:tcPr>
            <w:tcW w:type="dxa" w:w="2400"/>
            <w:tcMar>
              <w:top w:w="80" w:type="dxa"/>
              <w:start w:w="90" w:type="dxa"/>
              <w:bottom w:w="80" w:type="dxa"/>
              <w:end w:w="90" w:type="dxa"/>
            </w:tcMar>
            <w:vAlign w:val="center"/>
            <w:shd w:fill="F4F6F7"/>
          </w:tcPr>
          <w:p>
            <w:pPr>
              <w:spacing w:after="0" w:line="264" w:lineRule="auto"/>
              <w:jc w:val="center"/>
            </w:pPr>
            <w:r>
              <w:rPr>
                <w:rFonts w:ascii="STSong" w:hAnsi="STSong" w:eastAsia="STSong" w:cs="STSong" w:hint="eastAsia"/>
                <w:b w:val="0"/>
                <w:i w:val="0"/>
                <w:color w:val="202124"/>
                <w:sz w:val="16"/>
                <w:lang w:val="zh-CN" w:eastAsia="zh-CN"/>
              </w:rPr>
              <w:t>领域帖占有效文字帖比例</w:t>
            </w:r>
          </w:p>
        </w:tc>
        <w:tc>
          <w:tcPr>
            <w:tcW w:type="dxa" w:w="2100"/>
            <w:tcMar>
              <w:top w:w="80" w:type="dxa"/>
              <w:start w:w="90" w:type="dxa"/>
              <w:bottom w:w="80" w:type="dxa"/>
              <w:end w:w="90" w:type="dxa"/>
            </w:tcMar>
            <w:vAlign w:val="center"/>
            <w:shd w:fill="F4F6F7"/>
          </w:tcPr>
          <w:p>
            <w:pPr>
              <w:spacing w:after="0" w:line="264" w:lineRule="auto"/>
              <w:jc w:val="center"/>
            </w:pPr>
            <w:r>
              <w:rPr>
                <w:rFonts w:ascii="STSong" w:hAnsi="STSong" w:eastAsia="STSong" w:cs="STSong" w:hint="eastAsia"/>
                <w:b w:val="0"/>
                <w:i w:val="0"/>
                <w:color w:val="202124"/>
                <w:sz w:val="16"/>
                <w:lang w:val="zh-CN" w:eastAsia="zh-CN"/>
              </w:rPr>
              <w:t>5.27</w:t>
            </w:r>
          </w:p>
        </w:tc>
        <w:tc>
          <w:tcPr>
            <w:tcW w:type="dxa" w:w="2100"/>
            <w:tcMar>
              <w:top w:w="80" w:type="dxa"/>
              <w:start w:w="90" w:type="dxa"/>
              <w:bottom w:w="80" w:type="dxa"/>
              <w:end w:w="90" w:type="dxa"/>
            </w:tcMar>
            <w:vAlign w:val="center"/>
            <w:shd w:fill="F4F6F7"/>
          </w:tcPr>
          <w:p>
            <w:pPr>
              <w:spacing w:after="0" w:line="264" w:lineRule="auto"/>
              <w:jc w:val="center"/>
            </w:pPr>
            <w:r>
              <w:rPr>
                <w:rFonts w:ascii="STSong" w:hAnsi="STSong" w:eastAsia="STSong" w:cs="STSong" w:hint="eastAsia"/>
                <w:b w:val="0"/>
                <w:i w:val="0"/>
                <w:color w:val="202124"/>
                <w:sz w:val="16"/>
                <w:lang w:val="zh-CN" w:eastAsia="zh-CN"/>
              </w:rPr>
              <w:t>-3.34</w:t>
            </w:r>
          </w:p>
        </w:tc>
        <w:tc>
          <w:tcPr>
            <w:tcW w:type="dxa" w:w="1510"/>
            <w:tcMar>
              <w:top w:w="80" w:type="dxa"/>
              <w:start w:w="90" w:type="dxa"/>
              <w:bottom w:w="80" w:type="dxa"/>
              <w:end w:w="90" w:type="dxa"/>
            </w:tcMar>
            <w:vAlign w:val="center"/>
            <w:shd w:fill="F4F6F7"/>
          </w:tcPr>
          <w:p>
            <w:pPr>
              <w:spacing w:after="0" w:line="264" w:lineRule="auto"/>
              <w:jc w:val="center"/>
            </w:pPr>
            <w:r>
              <w:rPr>
                <w:rFonts w:ascii="STSong" w:hAnsi="STSong" w:eastAsia="STSong" w:cs="STSong" w:hint="eastAsia"/>
                <w:b w:val="0"/>
                <w:i w:val="0"/>
                <w:color w:val="202124"/>
                <w:sz w:val="16"/>
                <w:lang w:val="zh-CN" w:eastAsia="zh-CN"/>
              </w:rPr>
              <w:t>208,879</w:t>
            </w:r>
          </w:p>
        </w:tc>
      </w:tr>
    </w:tbl>
    <w:p>
      <w:pPr>
        <w:spacing w:after="20"/>
      </w:pPr>
    </w:p>
    <w:p>
      <w:pPr>
        <w:spacing w:before="20" w:after="140" w:line="276" w:lineRule="auto"/>
        <w:ind w:left="230" w:right="230"/>
      </w:pPr>
      <w:r>
        <w:rPr>
          <w:rFonts w:ascii="STSong" w:hAnsi="STSong" w:eastAsia="STSong" w:cs="STSong" w:hint="eastAsia"/>
          <w:b w:val="0"/>
          <w:i w:val="0"/>
          <w:color w:val="6B7280"/>
          <w:sz w:val="17"/>
          <w:lang w:val="zh-CN" w:eastAsia="zh-CN"/>
        </w:rPr>
        <w:t>注：M0仅包含平台性别字段。正值表示男性编码个人账号更高，负值表示女性编码个人账号更高。</w:t>
      </w:r>
    </w:p>
    <w:p>
      <w:pPr>
        <w:pStyle w:val="Heading2"/>
      </w:pPr>
      <w:r>
        <w:t>（二）活动量调整后差异仍然存在</w:t>
      </w:r>
    </w:p>
    <w:p>
      <w:pPr>
        <w:keepLines/>
        <w:spacing w:lineRule="auto" w:line="324" w:after="120"/>
        <w:ind w:firstLine="420"/>
        <w:jc w:val="both"/>
      </w:pPr>
      <w:r>
        <w:rPr>
          <w:rFonts w:ascii="STSong" w:hAnsi="STSong" w:eastAsia="STSong" w:cs="STSong" w:hint="eastAsia"/>
          <w:b w:val="0"/>
          <w:i w:val="0"/>
          <w:color w:val="202124"/>
          <w:sz w:val="21"/>
          <w:lang w:val="zh-CN" w:eastAsia="zh-CN"/>
        </w:rPr>
        <w:t>加入发帖数和转发数后，公共事务来源进入差异由0.93个百分点增加至2.28个百分点，明星来源进入差异由−1.57个百分点收窄至−0.80个百分点。这说明未调整均值受到男女账号总体活动量差异影响，但活动机会不能解释领域方向。</w:t>
      </w:r>
    </w:p>
    <w:p>
      <w:pPr>
        <w:keepLines/>
        <w:spacing w:lineRule="auto" w:line="324" w:after="120"/>
        <w:ind w:firstLine="420"/>
        <w:jc w:val="both"/>
      </w:pPr>
      <w:r>
        <w:rPr>
          <w:rFonts w:ascii="STSong" w:hAnsi="STSong" w:eastAsia="STSong" w:cs="STSong" w:hint="eastAsia"/>
          <w:b w:val="0"/>
          <w:i w:val="0"/>
          <w:color w:val="202124"/>
          <w:sz w:val="21"/>
          <w:lang w:val="zh-CN" w:eastAsia="zh-CN"/>
        </w:rPr>
        <w:t>内容表达的结果更稳定。M1中，男性编码账号的公共事务帖子比例比女性编码账号高3.93个百分点，明星帖子比例低3.06个百分点。M2在资料完整样本中得到4.38和−3.25个百分点。由于M2排除了约三分之一账号，M1与M2之间的变化不能全部归因于新增控制变量；其主要用途是检验结论方向是否对资料完整样本敏感。</w:t>
      </w:r>
    </w:p>
    <w:tbl>
      <w:tblPr>
        <w:tblStyle w:val="TableGrid"/>
        <w:tblW w:type="dxa" w:w="9360"/>
        <w:jc w:val="center"/>
        <w:tblLayout w:type="fixed"/>
        <w:tblLook w:firstColumn="1" w:firstRow="1" w:lastColumn="0" w:lastRow="0" w:noHBand="0" w:noVBand="1" w:val="04A0"/>
      </w:tblPr>
      <w:tblGrid>
        <w:gridCol w:w="1930"/>
        <w:gridCol w:w="1930"/>
        <w:gridCol w:w="1930"/>
        <w:gridCol w:w="1930"/>
        <w:gridCol w:w="1930"/>
      </w:tblGrid>
      <w:tr>
        <w:trPr>
          <w:tblHeader w:val="true"/>
        </w:trPr>
        <w:tc>
          <w:tcPr>
            <w:tcW w:type="dxa" w:w="1250"/>
            <w:tcMar>
              <w:top w:w="80" w:type="dxa"/>
              <w:start w:w="90" w:type="dxa"/>
              <w:bottom w:w="80" w:type="dxa"/>
              <w:end w:w="90" w:type="dxa"/>
            </w:tcMar>
            <w:vAlign w:val="center"/>
            <w:shd w:fill="2E5D7B"/>
          </w:tcPr>
          <w:p>
            <w:pPr>
              <w:spacing w:after="0" w:line="264" w:lineRule="auto"/>
              <w:jc w:val="left"/>
            </w:pPr>
            <w:r>
              <w:rPr>
                <w:rFonts w:ascii="STSong" w:hAnsi="STSong" w:eastAsia="STSong" w:cs="STSong" w:hint="eastAsia"/>
                <w:b/>
                <w:i w:val="0"/>
                <w:color w:val="FFFFFF"/>
                <w:sz w:val="16"/>
                <w:lang w:val="zh-CN" w:eastAsia="zh-CN"/>
              </w:rPr>
              <w:t>模型</w:t>
            </w:r>
          </w:p>
        </w:tc>
        <w:tc>
          <w:tcPr>
            <w:tcW w:type="dxa" w:w="2400"/>
            <w:tcMar>
              <w:top w:w="80" w:type="dxa"/>
              <w:start w:w="90" w:type="dxa"/>
              <w:bottom w:w="80" w:type="dxa"/>
              <w:end w:w="90" w:type="dxa"/>
            </w:tcMar>
            <w:vAlign w:val="center"/>
            <w:shd w:fill="2E5D7B"/>
          </w:tcPr>
          <w:p>
            <w:pPr>
              <w:spacing w:after="0" w:line="264" w:lineRule="auto"/>
              <w:jc w:val="center"/>
            </w:pPr>
            <w:r>
              <w:rPr>
                <w:rFonts w:ascii="STSong" w:hAnsi="STSong" w:eastAsia="STSong" w:cs="STSong" w:hint="eastAsia"/>
                <w:b/>
                <w:i w:val="0"/>
                <w:color w:val="FFFFFF"/>
                <w:sz w:val="16"/>
                <w:lang w:val="zh-CN" w:eastAsia="zh-CN"/>
              </w:rPr>
              <w:t>公共来源进入</w:t>
            </w:r>
          </w:p>
        </w:tc>
        <w:tc>
          <w:tcPr>
            <w:tcW w:type="dxa" w:w="2100"/>
            <w:tcMar>
              <w:top w:w="80" w:type="dxa"/>
              <w:start w:w="90" w:type="dxa"/>
              <w:bottom w:w="80" w:type="dxa"/>
              <w:end w:w="90" w:type="dxa"/>
            </w:tcMar>
            <w:vAlign w:val="center"/>
            <w:shd w:fill="2E5D7B"/>
          </w:tcPr>
          <w:p>
            <w:pPr>
              <w:spacing w:after="0" w:line="264" w:lineRule="auto"/>
              <w:jc w:val="center"/>
            </w:pPr>
            <w:r>
              <w:rPr>
                <w:rFonts w:ascii="STSong" w:hAnsi="STSong" w:eastAsia="STSong" w:cs="STSong" w:hint="eastAsia"/>
                <w:b/>
                <w:i w:val="0"/>
                <w:color w:val="FFFFFF"/>
                <w:sz w:val="16"/>
                <w:lang w:val="zh-CN" w:eastAsia="zh-CN"/>
              </w:rPr>
              <w:t>明星来源进入</w:t>
            </w:r>
          </w:p>
        </w:tc>
        <w:tc>
          <w:tcPr>
            <w:tcW w:type="dxa" w:w="2100"/>
            <w:tcMar>
              <w:top w:w="80" w:type="dxa"/>
              <w:start w:w="90" w:type="dxa"/>
              <w:bottom w:w="80" w:type="dxa"/>
              <w:end w:w="90" w:type="dxa"/>
            </w:tcMar>
            <w:vAlign w:val="center"/>
            <w:shd w:fill="2E5D7B"/>
          </w:tcPr>
          <w:p>
            <w:pPr>
              <w:spacing w:after="0" w:line="264" w:lineRule="auto"/>
              <w:jc w:val="center"/>
            </w:pPr>
            <w:r>
              <w:rPr>
                <w:rFonts w:ascii="STSong" w:hAnsi="STSong" w:eastAsia="STSong" w:cs="STSong" w:hint="eastAsia"/>
                <w:b/>
                <w:i w:val="0"/>
                <w:color w:val="FFFFFF"/>
                <w:sz w:val="16"/>
                <w:lang w:val="zh-CN" w:eastAsia="zh-CN"/>
              </w:rPr>
              <w:t>公共内容比例</w:t>
            </w:r>
          </w:p>
        </w:tc>
        <w:tc>
          <w:tcPr>
            <w:tcW w:type="dxa" w:w="1510"/>
            <w:tcMar>
              <w:top w:w="80" w:type="dxa"/>
              <w:start w:w="90" w:type="dxa"/>
              <w:bottom w:w="80" w:type="dxa"/>
              <w:end w:w="90" w:type="dxa"/>
            </w:tcMar>
            <w:vAlign w:val="center"/>
            <w:shd w:fill="2E5D7B"/>
          </w:tcPr>
          <w:p>
            <w:pPr>
              <w:spacing w:after="0" w:line="264" w:lineRule="auto"/>
              <w:jc w:val="center"/>
            </w:pPr>
            <w:r>
              <w:rPr>
                <w:rFonts w:ascii="STSong" w:hAnsi="STSong" w:eastAsia="STSong" w:cs="STSong" w:hint="eastAsia"/>
                <w:b/>
                <w:i w:val="0"/>
                <w:color w:val="FFFFFF"/>
                <w:sz w:val="16"/>
                <w:lang w:val="zh-CN" w:eastAsia="zh-CN"/>
              </w:rPr>
              <w:t>明星内容比例</w:t>
            </w:r>
          </w:p>
        </w:tc>
      </w:tr>
      <w:tr>
        <w:trPr/>
        <w:tc>
          <w:tcPr>
            <w:tcW w:type="dxa" w:w="1250"/>
            <w:tcMar>
              <w:top w:w="80" w:type="dxa"/>
              <w:start w:w="90" w:type="dxa"/>
              <w:bottom w:w="80" w:type="dxa"/>
              <w:end w:w="90" w:type="dxa"/>
            </w:tcMar>
            <w:vAlign w:val="center"/>
          </w:tcPr>
          <w:p>
            <w:pPr>
              <w:spacing w:after="0" w:line="264" w:lineRule="auto"/>
              <w:jc w:val="left"/>
            </w:pPr>
            <w:r>
              <w:rPr>
                <w:rFonts w:ascii="STSong" w:hAnsi="STSong" w:eastAsia="STSong" w:cs="STSong" w:hint="eastAsia"/>
                <w:b w:val="0"/>
                <w:i w:val="0"/>
                <w:color w:val="202124"/>
                <w:sz w:val="16"/>
                <w:lang w:val="zh-CN" w:eastAsia="zh-CN"/>
              </w:rPr>
              <w:t>M0</w:t>
            </w:r>
          </w:p>
        </w:tc>
        <w:tc>
          <w:tcPr>
            <w:tcW w:type="dxa" w:w="2400"/>
            <w:tcMar>
              <w:top w:w="80" w:type="dxa"/>
              <w:start w:w="90" w:type="dxa"/>
              <w:bottom w:w="80" w:type="dxa"/>
              <w:end w:w="90" w:type="dxa"/>
            </w:tcMar>
            <w:vAlign w:val="center"/>
          </w:tcPr>
          <w:p>
            <w:pPr>
              <w:spacing w:after="0" w:line="264" w:lineRule="auto"/>
              <w:jc w:val="center"/>
            </w:pPr>
            <w:r>
              <w:rPr>
                <w:rFonts w:ascii="STSong" w:hAnsi="STSong" w:eastAsia="STSong" w:cs="STSong" w:hint="eastAsia"/>
                <w:b w:val="0"/>
                <w:i w:val="0"/>
                <w:color w:val="202124"/>
                <w:sz w:val="16"/>
                <w:lang w:val="zh-CN" w:eastAsia="zh-CN"/>
              </w:rPr>
              <w:t>0.93 [0.59, 1.28]</w:t>
            </w:r>
          </w:p>
        </w:tc>
        <w:tc>
          <w:tcPr>
            <w:tcW w:type="dxa" w:w="2100"/>
            <w:tcMar>
              <w:top w:w="80" w:type="dxa"/>
              <w:start w:w="90" w:type="dxa"/>
              <w:bottom w:w="80" w:type="dxa"/>
              <w:end w:w="90" w:type="dxa"/>
            </w:tcMar>
            <w:vAlign w:val="center"/>
          </w:tcPr>
          <w:p>
            <w:pPr>
              <w:spacing w:after="0" w:line="264" w:lineRule="auto"/>
              <w:jc w:val="center"/>
            </w:pPr>
            <w:r>
              <w:rPr>
                <w:rFonts w:ascii="STSong" w:hAnsi="STSong" w:eastAsia="STSong" w:cs="STSong" w:hint="eastAsia"/>
                <w:b w:val="0"/>
                <w:i w:val="0"/>
                <w:color w:val="202124"/>
                <w:sz w:val="16"/>
                <w:lang w:val="zh-CN" w:eastAsia="zh-CN"/>
              </w:rPr>
              <w:t>-1.57 [-1.83, -1.32]</w:t>
            </w:r>
          </w:p>
        </w:tc>
        <w:tc>
          <w:tcPr>
            <w:tcW w:type="dxa" w:w="2100"/>
            <w:tcMar>
              <w:top w:w="80" w:type="dxa"/>
              <w:start w:w="90" w:type="dxa"/>
              <w:bottom w:w="80" w:type="dxa"/>
              <w:end w:w="90" w:type="dxa"/>
            </w:tcMar>
            <w:vAlign w:val="center"/>
          </w:tcPr>
          <w:p>
            <w:pPr>
              <w:spacing w:after="0" w:line="264" w:lineRule="auto"/>
              <w:jc w:val="center"/>
            </w:pPr>
            <w:r>
              <w:rPr>
                <w:rFonts w:ascii="STSong" w:hAnsi="STSong" w:eastAsia="STSong" w:cs="STSong" w:hint="eastAsia"/>
                <w:b w:val="0"/>
                <w:i w:val="0"/>
                <w:color w:val="202124"/>
                <w:sz w:val="16"/>
                <w:lang w:val="zh-CN" w:eastAsia="zh-CN"/>
              </w:rPr>
              <w:t>5.27 [5.08, 5.45]</w:t>
            </w:r>
          </w:p>
        </w:tc>
        <w:tc>
          <w:tcPr>
            <w:tcW w:type="dxa" w:w="1510"/>
            <w:tcMar>
              <w:top w:w="80" w:type="dxa"/>
              <w:start w:w="90" w:type="dxa"/>
              <w:bottom w:w="80" w:type="dxa"/>
              <w:end w:w="90" w:type="dxa"/>
            </w:tcMar>
            <w:vAlign w:val="center"/>
          </w:tcPr>
          <w:p>
            <w:pPr>
              <w:spacing w:after="0" w:line="264" w:lineRule="auto"/>
              <w:jc w:val="center"/>
            </w:pPr>
            <w:r>
              <w:rPr>
                <w:rFonts w:ascii="STSong" w:hAnsi="STSong" w:eastAsia="STSong" w:cs="STSong" w:hint="eastAsia"/>
                <w:b w:val="0"/>
                <w:i w:val="0"/>
                <w:color w:val="202124"/>
                <w:sz w:val="16"/>
                <w:lang w:val="zh-CN" w:eastAsia="zh-CN"/>
              </w:rPr>
              <w:t>-3.34 [-3.47, -3.21]</w:t>
            </w:r>
          </w:p>
        </w:tc>
      </w:tr>
      <w:tr>
        <w:trPr/>
        <w:tc>
          <w:tcPr>
            <w:tcW w:type="dxa" w:w="1250"/>
            <w:tcMar>
              <w:top w:w="80" w:type="dxa"/>
              <w:start w:w="90" w:type="dxa"/>
              <w:bottom w:w="80" w:type="dxa"/>
              <w:end w:w="90" w:type="dxa"/>
            </w:tcMar>
            <w:vAlign w:val="center"/>
            <w:shd w:fill="F4F6F7"/>
          </w:tcPr>
          <w:p>
            <w:pPr>
              <w:spacing w:after="0" w:line="264" w:lineRule="auto"/>
              <w:jc w:val="left"/>
            </w:pPr>
            <w:r>
              <w:rPr>
                <w:rFonts w:ascii="STSong" w:hAnsi="STSong" w:eastAsia="STSong" w:cs="STSong" w:hint="eastAsia"/>
                <w:b w:val="0"/>
                <w:i w:val="0"/>
                <w:color w:val="202124"/>
                <w:sz w:val="16"/>
                <w:lang w:val="zh-CN" w:eastAsia="zh-CN"/>
              </w:rPr>
              <w:t>M1</w:t>
            </w:r>
          </w:p>
        </w:tc>
        <w:tc>
          <w:tcPr>
            <w:tcW w:type="dxa" w:w="2400"/>
            <w:tcMar>
              <w:top w:w="80" w:type="dxa"/>
              <w:start w:w="90" w:type="dxa"/>
              <w:bottom w:w="80" w:type="dxa"/>
              <w:end w:w="90" w:type="dxa"/>
            </w:tcMar>
            <w:vAlign w:val="center"/>
            <w:shd w:fill="F4F6F7"/>
          </w:tcPr>
          <w:p>
            <w:pPr>
              <w:spacing w:after="0" w:line="264" w:lineRule="auto"/>
              <w:jc w:val="center"/>
            </w:pPr>
            <w:r>
              <w:rPr>
                <w:rFonts w:ascii="STSong" w:hAnsi="STSong" w:eastAsia="STSong" w:cs="STSong" w:hint="eastAsia"/>
                <w:b w:val="0"/>
                <w:i w:val="0"/>
                <w:color w:val="202124"/>
                <w:sz w:val="16"/>
                <w:lang w:val="zh-CN" w:eastAsia="zh-CN"/>
              </w:rPr>
              <w:t>2.28 [1.95, 2.61]</w:t>
            </w:r>
          </w:p>
        </w:tc>
        <w:tc>
          <w:tcPr>
            <w:tcW w:type="dxa" w:w="2100"/>
            <w:tcMar>
              <w:top w:w="80" w:type="dxa"/>
              <w:start w:w="90" w:type="dxa"/>
              <w:bottom w:w="80" w:type="dxa"/>
              <w:end w:w="90" w:type="dxa"/>
            </w:tcMar>
            <w:vAlign w:val="center"/>
            <w:shd w:fill="F4F6F7"/>
          </w:tcPr>
          <w:p>
            <w:pPr>
              <w:spacing w:after="0" w:line="264" w:lineRule="auto"/>
              <w:jc w:val="center"/>
            </w:pPr>
            <w:r>
              <w:rPr>
                <w:rFonts w:ascii="STSong" w:hAnsi="STSong" w:eastAsia="STSong" w:cs="STSong" w:hint="eastAsia"/>
                <w:b w:val="0"/>
                <w:i w:val="0"/>
                <w:color w:val="202124"/>
                <w:sz w:val="16"/>
                <w:lang w:val="zh-CN" w:eastAsia="zh-CN"/>
              </w:rPr>
              <w:t>-0.80 [-1.06, -0.54]</w:t>
            </w:r>
          </w:p>
        </w:tc>
        <w:tc>
          <w:tcPr>
            <w:tcW w:type="dxa" w:w="2100"/>
            <w:tcMar>
              <w:top w:w="80" w:type="dxa"/>
              <w:start w:w="90" w:type="dxa"/>
              <w:bottom w:w="80" w:type="dxa"/>
              <w:end w:w="90" w:type="dxa"/>
            </w:tcMar>
            <w:vAlign w:val="center"/>
            <w:shd w:fill="F4F6F7"/>
          </w:tcPr>
          <w:p>
            <w:pPr>
              <w:spacing w:after="0" w:line="264" w:lineRule="auto"/>
              <w:jc w:val="center"/>
            </w:pPr>
            <w:r>
              <w:rPr>
                <w:rFonts w:ascii="STSong" w:hAnsi="STSong" w:eastAsia="STSong" w:cs="STSong" w:hint="eastAsia"/>
                <w:b w:val="0"/>
                <w:i w:val="0"/>
                <w:color w:val="202124"/>
                <w:sz w:val="16"/>
                <w:lang w:val="zh-CN" w:eastAsia="zh-CN"/>
              </w:rPr>
              <w:t>3.93 [3.78, 4.09]</w:t>
            </w:r>
          </w:p>
        </w:tc>
        <w:tc>
          <w:tcPr>
            <w:tcW w:type="dxa" w:w="1510"/>
            <w:tcMar>
              <w:top w:w="80" w:type="dxa"/>
              <w:start w:w="90" w:type="dxa"/>
              <w:bottom w:w="80" w:type="dxa"/>
              <w:end w:w="90" w:type="dxa"/>
            </w:tcMar>
            <w:vAlign w:val="center"/>
            <w:shd w:fill="F4F6F7"/>
          </w:tcPr>
          <w:p>
            <w:pPr>
              <w:spacing w:after="0" w:line="264" w:lineRule="auto"/>
              <w:jc w:val="center"/>
            </w:pPr>
            <w:r>
              <w:rPr>
                <w:rFonts w:ascii="STSong" w:hAnsi="STSong" w:eastAsia="STSong" w:cs="STSong" w:hint="eastAsia"/>
                <w:b w:val="0"/>
                <w:i w:val="0"/>
                <w:color w:val="202124"/>
                <w:sz w:val="16"/>
                <w:lang w:val="zh-CN" w:eastAsia="zh-CN"/>
              </w:rPr>
              <w:t>-3.06 [-3.19, -2.92]</w:t>
            </w:r>
          </w:p>
        </w:tc>
      </w:tr>
      <w:tr>
        <w:trPr/>
        <w:tc>
          <w:tcPr>
            <w:tcW w:type="dxa" w:w="1250"/>
            <w:tcMar>
              <w:top w:w="80" w:type="dxa"/>
              <w:start w:w="90" w:type="dxa"/>
              <w:bottom w:w="80" w:type="dxa"/>
              <w:end w:w="90" w:type="dxa"/>
            </w:tcMar>
            <w:vAlign w:val="center"/>
          </w:tcPr>
          <w:p>
            <w:pPr>
              <w:spacing w:after="0" w:line="264" w:lineRule="auto"/>
              <w:jc w:val="left"/>
            </w:pPr>
            <w:r>
              <w:rPr>
                <w:rFonts w:ascii="STSong" w:hAnsi="STSong" w:eastAsia="STSong" w:cs="STSong" w:hint="eastAsia"/>
                <w:b w:val="0"/>
                <w:i w:val="0"/>
                <w:color w:val="202124"/>
                <w:sz w:val="16"/>
                <w:lang w:val="zh-CN" w:eastAsia="zh-CN"/>
              </w:rPr>
              <w:t>M2</w:t>
            </w:r>
          </w:p>
        </w:tc>
        <w:tc>
          <w:tcPr>
            <w:tcW w:type="dxa" w:w="2400"/>
            <w:tcMar>
              <w:top w:w="80" w:type="dxa"/>
              <w:start w:w="90" w:type="dxa"/>
              <w:bottom w:w="80" w:type="dxa"/>
              <w:end w:w="90" w:type="dxa"/>
            </w:tcMar>
            <w:vAlign w:val="center"/>
          </w:tcPr>
          <w:p>
            <w:pPr>
              <w:spacing w:after="0" w:line="264" w:lineRule="auto"/>
              <w:jc w:val="center"/>
            </w:pPr>
            <w:r>
              <w:rPr>
                <w:rFonts w:ascii="STSong" w:hAnsi="STSong" w:eastAsia="STSong" w:cs="STSong" w:hint="eastAsia"/>
                <w:b w:val="0"/>
                <w:i w:val="0"/>
                <w:color w:val="202124"/>
                <w:sz w:val="16"/>
                <w:lang w:val="zh-CN" w:eastAsia="zh-CN"/>
              </w:rPr>
              <w:t>2.52 [2.10, 2.93]</w:t>
            </w:r>
          </w:p>
        </w:tc>
        <w:tc>
          <w:tcPr>
            <w:tcW w:type="dxa" w:w="2100"/>
            <w:tcMar>
              <w:top w:w="80" w:type="dxa"/>
              <w:start w:w="90" w:type="dxa"/>
              <w:bottom w:w="80" w:type="dxa"/>
              <w:end w:w="90" w:type="dxa"/>
            </w:tcMar>
            <w:vAlign w:val="center"/>
          </w:tcPr>
          <w:p>
            <w:pPr>
              <w:spacing w:after="0" w:line="264" w:lineRule="auto"/>
              <w:jc w:val="center"/>
            </w:pPr>
            <w:r>
              <w:rPr>
                <w:rFonts w:ascii="STSong" w:hAnsi="STSong" w:eastAsia="STSong" w:cs="STSong" w:hint="eastAsia"/>
                <w:b w:val="0"/>
                <w:i w:val="0"/>
                <w:color w:val="202124"/>
                <w:sz w:val="16"/>
                <w:lang w:val="zh-CN" w:eastAsia="zh-CN"/>
              </w:rPr>
              <w:t>-0.81 [-1.13, -0.49]</w:t>
            </w:r>
          </w:p>
        </w:tc>
        <w:tc>
          <w:tcPr>
            <w:tcW w:type="dxa" w:w="2100"/>
            <w:tcMar>
              <w:top w:w="80" w:type="dxa"/>
              <w:start w:w="90" w:type="dxa"/>
              <w:bottom w:w="80" w:type="dxa"/>
              <w:end w:w="90" w:type="dxa"/>
            </w:tcMar>
            <w:vAlign w:val="center"/>
          </w:tcPr>
          <w:p>
            <w:pPr>
              <w:spacing w:after="0" w:line="264" w:lineRule="auto"/>
              <w:jc w:val="center"/>
            </w:pPr>
            <w:r>
              <w:rPr>
                <w:rFonts w:ascii="STSong" w:hAnsi="STSong" w:eastAsia="STSong" w:cs="STSong" w:hint="eastAsia"/>
                <w:b w:val="0"/>
                <w:i w:val="0"/>
                <w:color w:val="202124"/>
                <w:sz w:val="16"/>
                <w:lang w:val="zh-CN" w:eastAsia="zh-CN"/>
              </w:rPr>
              <w:t>4.38 [4.19, 4.58]</w:t>
            </w:r>
          </w:p>
        </w:tc>
        <w:tc>
          <w:tcPr>
            <w:tcW w:type="dxa" w:w="1510"/>
            <w:tcMar>
              <w:top w:w="80" w:type="dxa"/>
              <w:start w:w="90" w:type="dxa"/>
              <w:bottom w:w="80" w:type="dxa"/>
              <w:end w:w="90" w:type="dxa"/>
            </w:tcMar>
            <w:vAlign w:val="center"/>
          </w:tcPr>
          <w:p>
            <w:pPr>
              <w:spacing w:after="0" w:line="264" w:lineRule="auto"/>
              <w:jc w:val="center"/>
            </w:pPr>
            <w:r>
              <w:rPr>
                <w:rFonts w:ascii="STSong" w:hAnsi="STSong" w:eastAsia="STSong" w:cs="STSong" w:hint="eastAsia"/>
                <w:b w:val="0"/>
                <w:i w:val="0"/>
                <w:color w:val="202124"/>
                <w:sz w:val="16"/>
                <w:lang w:val="zh-CN" w:eastAsia="zh-CN"/>
              </w:rPr>
              <w:t>-3.25 [-3.43, -3.08]</w:t>
            </w:r>
          </w:p>
        </w:tc>
      </w:tr>
    </w:tbl>
    <w:p>
      <w:pPr>
        <w:spacing w:after="20"/>
      </w:pPr>
    </w:p>
    <w:p>
      <w:pPr>
        <w:spacing w:before="20" w:after="140" w:line="276" w:lineRule="auto"/>
        <w:ind w:left="230" w:right="230"/>
      </w:pPr>
      <w:r>
        <w:rPr>
          <w:rFonts w:ascii="STSong" w:hAnsi="STSong" w:eastAsia="STSong" w:cs="STSong" w:hint="eastAsia"/>
          <w:b w:val="0"/>
          <w:i w:val="0"/>
          <w:color w:val="6B7280"/>
          <w:sz w:val="17"/>
          <w:lang w:val="zh-CN" w:eastAsia="zh-CN"/>
        </w:rPr>
        <w:t>注：表中为男性编码减女性编码的平均边际效应，单位为百分点，方括号内为95%置信区间。M1加入发帖数和转发数；M2进一步加入账号资料。来源模型M0/M1的样本量为209,871，M2为141,095；内容模型M0/M1为208,879，M2为140,391。</w:t>
      </w:r>
    </w:p>
    <w:p>
      <w:pPr>
        <w:keepLines/>
        <w:spacing w:before="100" w:after="40"/>
        <w:jc w:val="center"/>
        <w:keepNext/>
      </w:pPr>
      <w:r>
        <w:drawing>
          <wp:inline xmlns:a="http://schemas.openxmlformats.org/drawingml/2006/main" xmlns:pic="http://schemas.openxmlformats.org/drawingml/2006/picture">
            <wp:extent cx="5989320" cy="4097828"/>
            <wp:docPr id="1" name="Picture 1" descr="图1 个人账号四项核心结果：M0—M2的性别差异" title="图1 个人账号四项核心结果：M0—M2的性别差异"/>
            <wp:cNvGraphicFramePr>
              <a:graphicFrameLocks noChangeAspect="1"/>
            </wp:cNvGraphicFramePr>
            <a:graphic>
              <a:graphicData uri="http://schemas.openxmlformats.org/drawingml/2006/picture">
                <pic:pic>
                  <pic:nvPicPr>
                    <pic:cNvPr id="0" name="20260820_v3_fig1_personal_core.png"/>
                    <pic:cNvPicPr/>
                  </pic:nvPicPr>
                  <pic:blipFill>
                    <a:blip r:embed="rId11"/>
                    <a:stretch>
                      <a:fillRect/>
                    </a:stretch>
                  </pic:blipFill>
                  <pic:spPr>
                    <a:xfrm>
                      <a:off x="0" y="0"/>
                      <a:ext cx="5989320" cy="4097828"/>
                    </a:xfrm>
                    <a:prstGeom prst="rect"/>
                  </pic:spPr>
                </pic:pic>
              </a:graphicData>
            </a:graphic>
          </wp:inline>
        </w:drawing>
      </w:r>
    </w:p>
    <w:p>
      <w:pPr>
        <w:pStyle w:val="Caption"/>
        <w:jc w:val="center"/>
      </w:pPr>
      <w:r>
        <w:rPr>
          <w:rFonts w:ascii="STSong" w:hAnsi="STSong" w:eastAsia="STSong" w:cs="STSong" w:hint="eastAsia"/>
          <w:b w:val="0"/>
          <w:i w:val="0"/>
          <w:color w:val="6B7280"/>
          <w:sz w:val="18"/>
          <w:lang w:val="zh-CN" w:eastAsia="zh-CN"/>
        </w:rPr>
        <w:t>图1 个人账号四项核心结果：M0—M2的性别差异</w:t>
      </w:r>
    </w:p>
    <w:p>
      <w:pPr>
        <w:keepLines/>
        <w:spacing w:lineRule="auto" w:line="324" w:after="120"/>
        <w:ind w:firstLine="420"/>
        <w:jc w:val="both"/>
      </w:pPr>
      <w:r>
        <w:rPr>
          <w:rFonts w:ascii="STSong" w:hAnsi="STSong" w:eastAsia="STSong" w:cs="STSong" w:hint="eastAsia"/>
          <w:b w:val="0"/>
          <w:i w:val="0"/>
          <w:color w:val="202124"/>
          <w:sz w:val="21"/>
          <w:lang w:val="zh-CN" w:eastAsia="zh-CN"/>
        </w:rPr>
        <w:t>图1把四项结果放在同一概率尺度上。三个模型中的公共事务估计均位于零点右侧，明星文化估计均位于零点左侧。公开表达的绝对差异整体大于来源进入，且M1、M2的结论方向一致。</w:t>
      </w:r>
    </w:p>
    <w:p>
      <w:pPr>
        <w:pStyle w:val="Heading2"/>
      </w:pPr>
      <w:r>
        <w:t>（三）领域交互确认表达分化更强</w:t>
      </w:r>
    </w:p>
    <w:p>
      <w:pPr>
        <w:keepLines/>
        <w:spacing w:lineRule="auto" w:line="324" w:after="120"/>
        <w:ind w:firstLine="420"/>
        <w:jc w:val="both"/>
      </w:pPr>
      <w:r>
        <w:rPr>
          <w:rFonts w:ascii="STSong" w:hAnsi="STSong" w:eastAsia="STSong" w:cs="STSong" w:hint="eastAsia"/>
          <w:b w:val="0"/>
          <w:i w:val="0"/>
          <w:color w:val="202124"/>
          <w:sz w:val="21"/>
          <w:lang w:val="zh-CN" w:eastAsia="zh-CN"/>
        </w:rPr>
        <w:t>分别估计两个领域只能说明各自的性别差异，不能直接判断两者之间相距多远。领域交互模型显示，M1中公共事务与明星文化的性别差异在来源进入上相距3.16个百分点，在内容表达上相距8.34个百分点，两个区间均不跨越零。M0的相应距离为2.51和8.61个百分点，M2为3.79和10.33个百分点。</w:t>
      </w:r>
    </w:p>
    <w:p>
      <w:r>
        <w:br w:type="page"/>
      </w:r>
    </w:p>
    <w:tbl>
      <w:tblPr>
        <w:tblStyle w:val="TableGrid"/>
        <w:tblW w:type="dxa" w:w="9360"/>
        <w:jc w:val="center"/>
        <w:tblLayout w:type="fixed"/>
        <w:tblLook w:firstColumn="1" w:firstRow="1" w:lastColumn="0" w:lastRow="0" w:noHBand="0" w:noVBand="1" w:val="04A0"/>
      </w:tblPr>
      <w:tblGrid>
        <w:gridCol w:w="3216"/>
        <w:gridCol w:w="3216"/>
        <w:gridCol w:w="3216"/>
      </w:tblGrid>
      <w:tr>
        <w:trPr>
          <w:tblHeader w:val="true"/>
        </w:trPr>
        <w:tc>
          <w:tcPr>
            <w:tcW w:type="dxa" w:w="1750"/>
            <w:tcMar>
              <w:top w:w="80" w:type="dxa"/>
              <w:start w:w="90" w:type="dxa"/>
              <w:bottom w:w="80" w:type="dxa"/>
              <w:end w:w="90" w:type="dxa"/>
            </w:tcMar>
            <w:vAlign w:val="center"/>
            <w:shd w:fill="2E5D7B"/>
          </w:tcPr>
          <w:p>
            <w:pPr>
              <w:spacing w:after="0" w:line="264" w:lineRule="auto"/>
              <w:jc w:val="left"/>
            </w:pPr>
            <w:r>
              <w:rPr>
                <w:rFonts w:ascii="STSong" w:hAnsi="STSong" w:eastAsia="STSong" w:cs="STSong" w:hint="eastAsia"/>
                <w:b/>
                <w:i w:val="0"/>
                <w:color w:val="FFFFFF"/>
                <w:sz w:val="17"/>
                <w:lang w:val="zh-CN" w:eastAsia="zh-CN"/>
              </w:rPr>
              <w:t>模型</w:t>
            </w:r>
          </w:p>
        </w:tc>
        <w:tc>
          <w:tcPr>
            <w:tcW w:type="dxa" w:w="3805"/>
            <w:tcMar>
              <w:top w:w="80" w:type="dxa"/>
              <w:start w:w="90" w:type="dxa"/>
              <w:bottom w:w="80" w:type="dxa"/>
              <w:end w:w="90" w:type="dxa"/>
            </w:tcMar>
            <w:vAlign w:val="center"/>
            <w:shd w:fill="2E5D7B"/>
          </w:tcPr>
          <w:p>
            <w:pPr>
              <w:spacing w:after="0" w:line="264" w:lineRule="auto"/>
              <w:jc w:val="center"/>
            </w:pPr>
            <w:r>
              <w:rPr>
                <w:rFonts w:ascii="STSong" w:hAnsi="STSong" w:eastAsia="STSong" w:cs="STSong" w:hint="eastAsia"/>
                <w:b/>
                <w:i w:val="0"/>
                <w:color w:val="FFFFFF"/>
                <w:sz w:val="17"/>
                <w:lang w:val="zh-CN" w:eastAsia="zh-CN"/>
              </w:rPr>
              <w:t>来源传播的领域距离</w:t>
            </w:r>
          </w:p>
        </w:tc>
        <w:tc>
          <w:tcPr>
            <w:tcW w:type="dxa" w:w="3805"/>
            <w:tcMar>
              <w:top w:w="80" w:type="dxa"/>
              <w:start w:w="90" w:type="dxa"/>
              <w:bottom w:w="80" w:type="dxa"/>
              <w:end w:w="90" w:type="dxa"/>
            </w:tcMar>
            <w:vAlign w:val="center"/>
            <w:shd w:fill="2E5D7B"/>
          </w:tcPr>
          <w:p>
            <w:pPr>
              <w:spacing w:after="0" w:line="264" w:lineRule="auto"/>
              <w:jc w:val="center"/>
            </w:pPr>
            <w:r>
              <w:rPr>
                <w:rFonts w:ascii="STSong" w:hAnsi="STSong" w:eastAsia="STSong" w:cs="STSong" w:hint="eastAsia"/>
                <w:b/>
                <w:i w:val="0"/>
                <w:color w:val="FFFFFF"/>
                <w:sz w:val="17"/>
                <w:lang w:val="zh-CN" w:eastAsia="zh-CN"/>
              </w:rPr>
              <w:t>内容表达的领域距离</w:t>
            </w:r>
          </w:p>
        </w:tc>
      </w:tr>
      <w:tr>
        <w:trPr/>
        <w:tc>
          <w:tcPr>
            <w:tcW w:type="dxa" w:w="1750"/>
            <w:tcMar>
              <w:top w:w="80" w:type="dxa"/>
              <w:start w:w="90" w:type="dxa"/>
              <w:bottom w:w="80" w:type="dxa"/>
              <w:end w:w="90" w:type="dxa"/>
            </w:tcMar>
            <w:vAlign w:val="center"/>
          </w:tcPr>
          <w:p>
            <w:pPr>
              <w:spacing w:after="0" w:line="264" w:lineRule="auto"/>
              <w:jc w:val="left"/>
            </w:pPr>
            <w:r>
              <w:rPr>
                <w:rFonts w:ascii="STSong" w:hAnsi="STSong" w:eastAsia="STSong" w:cs="STSong" w:hint="eastAsia"/>
                <w:b w:val="0"/>
                <w:i w:val="0"/>
                <w:color w:val="202124"/>
                <w:sz w:val="17"/>
                <w:lang w:val="zh-CN" w:eastAsia="zh-CN"/>
              </w:rPr>
              <w:t>M0</w:t>
            </w:r>
          </w:p>
        </w:tc>
        <w:tc>
          <w:tcPr>
            <w:tcW w:type="dxa" w:w="3805"/>
            <w:tcMar>
              <w:top w:w="80" w:type="dxa"/>
              <w:start w:w="90" w:type="dxa"/>
              <w:bottom w:w="80" w:type="dxa"/>
              <w:end w:w="90" w:type="dxa"/>
            </w:tcMar>
            <w:vAlign w:val="center"/>
          </w:tcPr>
          <w:p>
            <w:pPr>
              <w:spacing w:after="0" w:line="264" w:lineRule="auto"/>
              <w:jc w:val="center"/>
            </w:pPr>
            <w:r>
              <w:rPr>
                <w:rFonts w:ascii="STSong" w:hAnsi="STSong" w:eastAsia="STSong" w:cs="STSong" w:hint="eastAsia"/>
                <w:b w:val="0"/>
                <w:i w:val="0"/>
                <w:color w:val="202124"/>
                <w:sz w:val="17"/>
                <w:lang w:val="zh-CN" w:eastAsia="zh-CN"/>
              </w:rPr>
              <w:t>2.51 [2.11, 2.90]</w:t>
            </w:r>
          </w:p>
        </w:tc>
        <w:tc>
          <w:tcPr>
            <w:tcW w:type="dxa" w:w="3805"/>
            <w:tcMar>
              <w:top w:w="80" w:type="dxa"/>
              <w:start w:w="90" w:type="dxa"/>
              <w:bottom w:w="80" w:type="dxa"/>
              <w:end w:w="90" w:type="dxa"/>
            </w:tcMar>
            <w:vAlign w:val="center"/>
          </w:tcPr>
          <w:p>
            <w:pPr>
              <w:spacing w:after="0" w:line="264" w:lineRule="auto"/>
              <w:jc w:val="center"/>
            </w:pPr>
            <w:r>
              <w:rPr>
                <w:rFonts w:ascii="STSong" w:hAnsi="STSong" w:eastAsia="STSong" w:cs="STSong" w:hint="eastAsia"/>
                <w:b w:val="0"/>
                <w:i w:val="0"/>
                <w:color w:val="202124"/>
                <w:sz w:val="17"/>
                <w:lang w:val="zh-CN" w:eastAsia="zh-CN"/>
              </w:rPr>
              <w:t>8.61 [8.37, 8.84]</w:t>
            </w:r>
          </w:p>
        </w:tc>
      </w:tr>
      <w:tr>
        <w:trPr/>
        <w:tc>
          <w:tcPr>
            <w:tcW w:type="dxa" w:w="1750"/>
            <w:tcMar>
              <w:top w:w="80" w:type="dxa"/>
              <w:start w:w="90" w:type="dxa"/>
              <w:bottom w:w="80" w:type="dxa"/>
              <w:end w:w="90" w:type="dxa"/>
            </w:tcMar>
            <w:vAlign w:val="center"/>
            <w:shd w:fill="F4F6F7"/>
          </w:tcPr>
          <w:p>
            <w:pPr>
              <w:spacing w:after="0" w:line="264" w:lineRule="auto"/>
              <w:jc w:val="left"/>
            </w:pPr>
            <w:r>
              <w:rPr>
                <w:rFonts w:ascii="STSong" w:hAnsi="STSong" w:eastAsia="STSong" w:cs="STSong" w:hint="eastAsia"/>
                <w:b w:val="0"/>
                <w:i w:val="0"/>
                <w:color w:val="202124"/>
                <w:sz w:val="17"/>
                <w:lang w:val="zh-CN" w:eastAsia="zh-CN"/>
              </w:rPr>
              <w:t>M1</w:t>
            </w:r>
          </w:p>
        </w:tc>
        <w:tc>
          <w:tcPr>
            <w:tcW w:type="dxa" w:w="3805"/>
            <w:tcMar>
              <w:top w:w="80" w:type="dxa"/>
              <w:start w:w="90" w:type="dxa"/>
              <w:bottom w:w="80" w:type="dxa"/>
              <w:end w:w="90" w:type="dxa"/>
            </w:tcMar>
            <w:vAlign w:val="center"/>
            <w:shd w:fill="F4F6F7"/>
          </w:tcPr>
          <w:p>
            <w:pPr>
              <w:spacing w:after="0" w:line="264" w:lineRule="auto"/>
              <w:jc w:val="center"/>
            </w:pPr>
            <w:r>
              <w:rPr>
                <w:rFonts w:ascii="STSong" w:hAnsi="STSong" w:eastAsia="STSong" w:cs="STSong" w:hint="eastAsia"/>
                <w:b w:val="0"/>
                <w:i w:val="0"/>
                <w:color w:val="202124"/>
                <w:sz w:val="17"/>
                <w:lang w:val="zh-CN" w:eastAsia="zh-CN"/>
              </w:rPr>
              <w:t>3.16 [2.74, 3.57]</w:t>
            </w:r>
          </w:p>
        </w:tc>
        <w:tc>
          <w:tcPr>
            <w:tcW w:type="dxa" w:w="3805"/>
            <w:tcMar>
              <w:top w:w="80" w:type="dxa"/>
              <w:start w:w="90" w:type="dxa"/>
              <w:bottom w:w="80" w:type="dxa"/>
              <w:end w:w="90" w:type="dxa"/>
            </w:tcMar>
            <w:vAlign w:val="center"/>
            <w:shd w:fill="F4F6F7"/>
          </w:tcPr>
          <w:p>
            <w:pPr>
              <w:spacing w:after="0" w:line="264" w:lineRule="auto"/>
              <w:jc w:val="center"/>
            </w:pPr>
            <w:r>
              <w:rPr>
                <w:rFonts w:ascii="STSong" w:hAnsi="STSong" w:eastAsia="STSong" w:cs="STSong" w:hint="eastAsia"/>
                <w:b w:val="0"/>
                <w:i w:val="0"/>
                <w:color w:val="202124"/>
                <w:sz w:val="17"/>
                <w:lang w:val="zh-CN" w:eastAsia="zh-CN"/>
              </w:rPr>
              <w:t>8.34 [8.12, 8.56]</w:t>
            </w:r>
          </w:p>
        </w:tc>
      </w:tr>
      <w:tr>
        <w:trPr/>
        <w:tc>
          <w:tcPr>
            <w:tcW w:type="dxa" w:w="1750"/>
            <w:tcMar>
              <w:top w:w="80" w:type="dxa"/>
              <w:start w:w="90" w:type="dxa"/>
              <w:bottom w:w="80" w:type="dxa"/>
              <w:end w:w="90" w:type="dxa"/>
            </w:tcMar>
            <w:vAlign w:val="center"/>
          </w:tcPr>
          <w:p>
            <w:pPr>
              <w:spacing w:after="0" w:line="264" w:lineRule="auto"/>
              <w:jc w:val="left"/>
            </w:pPr>
            <w:r>
              <w:rPr>
                <w:rFonts w:ascii="STSong" w:hAnsi="STSong" w:eastAsia="STSong" w:cs="STSong" w:hint="eastAsia"/>
                <w:b w:val="0"/>
                <w:i w:val="0"/>
                <w:color w:val="202124"/>
                <w:sz w:val="17"/>
                <w:lang w:val="zh-CN" w:eastAsia="zh-CN"/>
              </w:rPr>
              <w:t>M2</w:t>
            </w:r>
          </w:p>
        </w:tc>
        <w:tc>
          <w:tcPr>
            <w:tcW w:type="dxa" w:w="3805"/>
            <w:tcMar>
              <w:top w:w="80" w:type="dxa"/>
              <w:start w:w="90" w:type="dxa"/>
              <w:bottom w:w="80" w:type="dxa"/>
              <w:end w:w="90" w:type="dxa"/>
            </w:tcMar>
            <w:vAlign w:val="center"/>
          </w:tcPr>
          <w:p>
            <w:pPr>
              <w:spacing w:after="0" w:line="264" w:lineRule="auto"/>
              <w:jc w:val="center"/>
            </w:pPr>
            <w:r>
              <w:rPr>
                <w:rFonts w:ascii="STSong" w:hAnsi="STSong" w:eastAsia="STSong" w:cs="STSong" w:hint="eastAsia"/>
                <w:b w:val="0"/>
                <w:i w:val="0"/>
                <w:color w:val="202124"/>
                <w:sz w:val="17"/>
                <w:lang w:val="zh-CN" w:eastAsia="zh-CN"/>
              </w:rPr>
              <w:t>3.79 [3.28, 4.31]</w:t>
            </w:r>
          </w:p>
        </w:tc>
        <w:tc>
          <w:tcPr>
            <w:tcW w:type="dxa" w:w="3805"/>
            <w:tcMar>
              <w:top w:w="80" w:type="dxa"/>
              <w:start w:w="90" w:type="dxa"/>
              <w:bottom w:w="80" w:type="dxa"/>
              <w:end w:w="90" w:type="dxa"/>
            </w:tcMar>
            <w:vAlign w:val="center"/>
          </w:tcPr>
          <w:p>
            <w:pPr>
              <w:spacing w:after="0" w:line="264" w:lineRule="auto"/>
              <w:jc w:val="center"/>
            </w:pPr>
            <w:r>
              <w:rPr>
                <w:rFonts w:ascii="STSong" w:hAnsi="STSong" w:eastAsia="STSong" w:cs="STSong" w:hint="eastAsia"/>
                <w:b w:val="0"/>
                <w:i w:val="0"/>
                <w:color w:val="202124"/>
                <w:sz w:val="17"/>
                <w:lang w:val="zh-CN" w:eastAsia="zh-CN"/>
              </w:rPr>
              <w:t>10.33 [10.04, 10.62]</w:t>
            </w:r>
          </w:p>
        </w:tc>
      </w:tr>
    </w:tbl>
    <w:p>
      <w:pPr>
        <w:spacing w:after="20"/>
      </w:pPr>
    </w:p>
    <w:p>
      <w:pPr>
        <w:spacing w:before="20" w:after="140" w:line="276" w:lineRule="auto"/>
        <w:ind w:left="230" w:right="230"/>
      </w:pPr>
      <w:r>
        <w:rPr>
          <w:rFonts w:ascii="STSong" w:hAnsi="STSong" w:eastAsia="STSong" w:cs="STSong" w:hint="eastAsia"/>
          <w:b w:val="0"/>
          <w:i w:val="0"/>
          <w:color w:val="6B7280"/>
          <w:sz w:val="17"/>
          <w:lang w:val="zh-CN" w:eastAsia="zh-CN"/>
        </w:rPr>
        <w:t>注：领域距离＝公共事务中的性别差异－明星文化中的性别差异，单位为百分点。区间为95%置信区间。</w:t>
      </w:r>
    </w:p>
    <w:p>
      <w:pPr>
        <w:keepLines/>
        <w:spacing w:before="100" w:after="40"/>
        <w:jc w:val="center"/>
        <w:keepNext/>
      </w:pPr>
      <w:r>
        <w:drawing>
          <wp:inline xmlns:a="http://schemas.openxmlformats.org/drawingml/2006/main" xmlns:pic="http://schemas.openxmlformats.org/drawingml/2006/picture">
            <wp:extent cx="5989320" cy="3308304"/>
            <wp:docPr id="2" name="Picture 2" descr="图2 个人账号中两个信息领域的性别差异距离" title="图2 个人账号中两个信息领域的性别差异距离"/>
            <wp:cNvGraphicFramePr>
              <a:graphicFrameLocks noChangeAspect="1"/>
            </wp:cNvGraphicFramePr>
            <a:graphic>
              <a:graphicData uri="http://schemas.openxmlformats.org/drawingml/2006/picture">
                <pic:pic>
                  <pic:nvPicPr>
                    <pic:cNvPr id="0" name="20260820_v3_fig2_personal_domain_gap.png"/>
                    <pic:cNvPicPr/>
                  </pic:nvPicPr>
                  <pic:blipFill>
                    <a:blip r:embed="rId12"/>
                    <a:stretch>
                      <a:fillRect/>
                    </a:stretch>
                  </pic:blipFill>
                  <pic:spPr>
                    <a:xfrm>
                      <a:off x="0" y="0"/>
                      <a:ext cx="5989320" cy="3308304"/>
                    </a:xfrm>
                    <a:prstGeom prst="rect"/>
                  </pic:spPr>
                </pic:pic>
              </a:graphicData>
            </a:graphic>
          </wp:inline>
        </w:drawing>
      </w:r>
    </w:p>
    <w:p>
      <w:pPr>
        <w:pStyle w:val="Caption"/>
        <w:jc w:val="center"/>
      </w:pPr>
      <w:r>
        <w:rPr>
          <w:rFonts w:ascii="STSong" w:hAnsi="STSong" w:eastAsia="STSong" w:cs="STSong" w:hint="eastAsia"/>
          <w:b w:val="0"/>
          <w:i w:val="0"/>
          <w:color w:val="6B7280"/>
          <w:sz w:val="18"/>
          <w:lang w:val="zh-CN" w:eastAsia="zh-CN"/>
        </w:rPr>
        <w:t>图2 个人账号中两个信息领域的性别差异距离</w:t>
      </w:r>
    </w:p>
    <w:p>
      <w:pPr>
        <w:keepLines/>
        <w:spacing w:lineRule="auto" w:line="324" w:after="120"/>
        <w:ind w:firstLine="420"/>
        <w:jc w:val="both"/>
      </w:pPr>
      <w:r>
        <w:rPr>
          <w:rFonts w:ascii="STSong" w:hAnsi="STSong" w:eastAsia="STSong" w:cs="STSong" w:hint="eastAsia"/>
          <w:b w:val="0"/>
          <w:i w:val="0"/>
          <w:color w:val="202124"/>
          <w:sz w:val="21"/>
          <w:lang w:val="zh-CN" w:eastAsia="zh-CN"/>
        </w:rPr>
        <w:t>这一结果支持“参与方式具有不同分化幅度”的预期。是否转发过某类来源显示的是最低限度的领域进入，内容比例则概括全年公开文字的配置。两者都受到信息供给和行为机会影响，但内容表达更持续地暴露于账号受众和平台评价。现有结果与表达成本解释一致，却不能在兴趣、受众想象、社群规范和算法曝光之间识别具体机制。</w:t>
      </w:r>
    </w:p>
    <w:p>
      <w:pPr>
        <w:pStyle w:val="Heading2"/>
      </w:pPr>
      <w:r>
        <w:t>（四）机构账号放大全账号中的公共事务差异</w:t>
      </w:r>
    </w:p>
    <w:p>
      <w:pPr>
        <w:keepLines/>
        <w:spacing w:lineRule="auto" w:line="324" w:after="120"/>
        <w:ind w:firstLine="420"/>
        <w:jc w:val="both"/>
      </w:pPr>
      <w:r>
        <w:rPr>
          <w:rFonts w:ascii="STSong" w:hAnsi="STSong" w:eastAsia="STSong" w:cs="STSong" w:hint="eastAsia"/>
          <w:b w:val="0"/>
          <w:i w:val="0"/>
          <w:color w:val="202124"/>
          <w:sz w:val="21"/>
          <w:lang w:val="zh-CN" w:eastAsia="zh-CN"/>
        </w:rPr>
        <w:t>作为平台账号构成对照，全账号M1结果中，男性编码账号的公共事务来源进入概率高3.59个百分点，公共事务帖子比例高9.75个百分点；明星来源进入概率低1.50个百分点，明星帖子比例低3.46个百分点。与个人账号M1相比，公共事务的两个差异明显扩大，明星内容差异变化较小。</w:t>
      </w:r>
    </w:p>
    <w:p>
      <w:pPr>
        <w:keepLines/>
        <w:spacing w:lineRule="auto" w:line="324" w:after="120"/>
        <w:ind w:firstLine="420"/>
        <w:jc w:val="both"/>
      </w:pPr>
      <w:r>
        <w:rPr>
          <w:rFonts w:ascii="STSong" w:hAnsi="STSong" w:eastAsia="STSong" w:cs="STSong" w:hint="eastAsia"/>
          <w:b w:val="0"/>
          <w:i w:val="0"/>
          <w:color w:val="202124"/>
          <w:sz w:val="21"/>
          <w:lang w:val="zh-CN" w:eastAsia="zh-CN"/>
        </w:rPr>
        <w:t>这一变化与账号构成相吻合。现有分类排除的机构账号占男性编码账号的20.3%，但只占女性编码账号的2.84%。机构账号承担较多组织化公共信息生产与传播，其性别字段却不具有个人属性。直接将全账号中的字段解释为用户性别，会把组织账号的内容角色并入男性个人行为。全账号结果描述平台可见信息生态，个人账号结果才接近本文关于用户参与的推论对象。</w:t>
      </w:r>
    </w:p>
    <w:p>
      <w:pPr>
        <w:pStyle w:val="Heading1"/>
      </w:pPr>
      <w:r>
        <w:t>五、讨论</w:t>
      </w:r>
    </w:p>
    <w:p>
      <w:pPr>
        <w:pStyle w:val="Heading2"/>
      </w:pPr>
      <w:r>
        <w:t>（一）性别差异体现为信息领域结构</w:t>
      </w:r>
    </w:p>
    <w:p>
      <w:pPr>
        <w:keepLines/>
        <w:spacing w:lineRule="auto" w:line="324" w:after="120"/>
        <w:ind w:firstLine="420"/>
        <w:jc w:val="both"/>
      </w:pPr>
      <w:r>
        <w:rPr>
          <w:rFonts w:ascii="STSong" w:hAnsi="STSong" w:eastAsia="STSong" w:cs="STSong" w:hint="eastAsia"/>
          <w:b w:val="0"/>
          <w:i w:val="0"/>
          <w:color w:val="202124"/>
          <w:sz w:val="21"/>
          <w:lang w:val="zh-CN" w:eastAsia="zh-CN"/>
        </w:rPr>
        <w:t>本文的核心发现不是单一领域中的“谁参与更多”，而是两个领域中的差异方向相反。男性编码个人账号更多传播公共事务来源并发布公共事务内容，女性编码个人账号更多传播演艺来源并发布明星内容。男女账号都在平台上留下大量行为痕迹，差异集中于这些行为被配置到哪些信息对象和议题。</w:t>
      </w:r>
    </w:p>
    <w:p>
      <w:pPr>
        <w:keepLines/>
        <w:spacing w:lineRule="auto" w:line="324" w:after="120"/>
        <w:ind w:firstLine="420"/>
        <w:jc w:val="both"/>
      </w:pPr>
      <w:r>
        <w:rPr>
          <w:rFonts w:ascii="STSong" w:hAnsi="STSong" w:eastAsia="STSong" w:cs="STSong" w:hint="eastAsia"/>
          <w:b w:val="0"/>
          <w:i w:val="0"/>
          <w:color w:val="202124"/>
          <w:sz w:val="21"/>
          <w:lang w:val="zh-CN" w:eastAsia="zh-CN"/>
        </w:rPr>
        <w:t>这一结果扩展了政治兴趣性别差距研究。一般政治兴趣指标常以国家政治和制度议题为中心，具体议题测量能够显著改变性别差距（Coffé，2013；Ferrín等，2020）。数字痕迹研究也面临同样问题：研究者选择制度化来源、公共词条或明星姓名，决定哪些行为进入“参与”的统计范围。本文的跨领域设计使这一测量选择变得可见，但没有覆盖家庭、教育、消费权益、体育、游戏、性别议题和社会互助等其他领域。未来加入更多领域后，才可能绘制更完整的信息参与地图。</w:t>
      </w:r>
    </w:p>
    <w:p>
      <w:pPr>
        <w:pStyle w:val="Heading2"/>
      </w:pPr>
      <w:r>
        <w:t>（二）传播与表达是相邻但不同的行为</w:t>
      </w:r>
    </w:p>
    <w:p>
      <w:pPr>
        <w:keepLines/>
        <w:spacing w:lineRule="auto" w:line="324" w:after="120"/>
        <w:ind w:firstLine="420"/>
        <w:jc w:val="both"/>
      </w:pPr>
      <w:r>
        <w:rPr>
          <w:rFonts w:ascii="STSong" w:hAnsi="STSong" w:eastAsia="STSong" w:cs="STSong" w:hint="eastAsia"/>
          <w:b w:val="0"/>
          <w:i w:val="0"/>
          <w:color w:val="202124"/>
          <w:sz w:val="21"/>
          <w:lang w:val="zh-CN" w:eastAsia="zh-CN"/>
        </w:rPr>
        <w:t>两个领域的性别距离在内容表达中明显大于来源传播。来源进入只要求全年至少转发一次，受到少数头部账号的发布频率和转发机会约束；内容比例则衡量一个领域在全年有效文字中的位置。传播对象和表达议题可能重合，也可能分离。将二者合并为统一的“新闻—娱乐使用指数”，会丢失行为过程的差异。</w:t>
      </w:r>
    </w:p>
    <w:p>
      <w:pPr>
        <w:keepLines/>
        <w:spacing w:lineRule="auto" w:line="324" w:after="120"/>
        <w:ind w:firstLine="420"/>
        <w:jc w:val="both"/>
      </w:pPr>
      <w:r>
        <w:rPr>
          <w:rFonts w:ascii="STSong" w:hAnsi="STSong" w:eastAsia="STSong" w:cs="STSong" w:hint="eastAsia"/>
          <w:b w:val="0"/>
          <w:i w:val="0"/>
          <w:color w:val="202124"/>
          <w:sz w:val="21"/>
          <w:lang w:val="zh-CN" w:eastAsia="zh-CN"/>
        </w:rPr>
        <w:t>公开表达还包含身份呈现和社会评价。政治内容可能引发冲突，明星内容也可能承载粉丝身份、情感劳动和社群任务。本文没有受众网络、曝光日志和发帖动机，无法证明表达成本造成了观察到的差异。更合适的结论是：在已观察到的可见行为中，内容配置呈现更强的性别领域分化；其形成机制仍需问卷、访谈、网络结构或事件研究进一步检验。</w:t>
      </w:r>
    </w:p>
    <w:p>
      <w:pPr>
        <w:pStyle w:val="Heading2"/>
      </w:pPr>
      <w:r>
        <w:t>（三）平台字段和账号类型会塑造统计结论</w:t>
      </w:r>
    </w:p>
    <w:p>
      <w:pPr>
        <w:keepLines/>
        <w:spacing w:lineRule="auto" w:line="324" w:after="120"/>
        <w:ind w:firstLine="420"/>
        <w:jc w:val="both"/>
      </w:pPr>
      <w:r>
        <w:rPr>
          <w:rFonts w:ascii="STSong" w:hAnsi="STSong" w:eastAsia="STSong" w:cs="STSong" w:hint="eastAsia"/>
          <w:b w:val="0"/>
          <w:i w:val="0"/>
          <w:color w:val="202124"/>
          <w:sz w:val="21"/>
          <w:lang w:val="zh-CN" w:eastAsia="zh-CN"/>
        </w:rPr>
        <w:t>排除机构账号后，公共事务差异明显缩小。这一结果说明平台资料字段不是透明的社会属性。微博账号可以代表个人、媒体、政府、企业或其他组织，二元性别字段却把这些主体放入同一分类。数字痕迹总误差框架指出，平台人口、数据生成、测量和推论之间存在多层偏差（Sen等，2021）。本文中的机构账号正是推论对象不一致的实例。</w:t>
      </w:r>
    </w:p>
    <w:p>
      <w:pPr>
        <w:keepLines/>
        <w:spacing w:lineRule="auto" w:line="324" w:after="120"/>
        <w:ind w:firstLine="420"/>
        <w:jc w:val="both"/>
      </w:pPr>
      <w:r>
        <w:rPr>
          <w:rFonts w:ascii="STSong" w:hAnsi="STSong" w:eastAsia="STSong" w:cs="STSong" w:hint="eastAsia"/>
          <w:b w:val="0"/>
          <w:i w:val="0"/>
          <w:color w:val="202124"/>
          <w:sz w:val="21"/>
          <w:lang w:val="zh-CN" w:eastAsia="zh-CN"/>
        </w:rPr>
        <w:t>个人账号与全账号回答不同问题。个人账号结果描述按现有规则识别的使用者行为差异；全账号结果描述平台账号生态及其属性编码共同形成的可见结构。研究者应先声明推论对象，再决定是否排除组织主体，而不能把“数据中有性别字段”直接等同于“样本由个人用户构成”。</w:t>
      </w:r>
    </w:p>
    <w:p>
      <w:pPr>
        <w:pStyle w:val="Heading1"/>
      </w:pPr>
      <w:r>
        <w:t>六、研究边界与后续验证</w:t>
      </w:r>
    </w:p>
    <w:p>
      <w:pPr>
        <w:keepLines/>
        <w:spacing w:lineRule="auto" w:line="324" w:after="120"/>
        <w:ind w:firstLine="420"/>
        <w:jc w:val="both"/>
      </w:pPr>
      <w:r>
        <w:rPr>
          <w:rFonts w:ascii="STSong" w:hAnsi="STSong" w:eastAsia="STSong" w:cs="STSong" w:hint="eastAsia"/>
          <w:b w:val="0"/>
          <w:i w:val="0"/>
          <w:color w:val="202124"/>
          <w:sz w:val="21"/>
          <w:lang w:val="zh-CN" w:eastAsia="zh-CN"/>
        </w:rPr>
        <w:t>第一，样本来自既有数据获取、匹配和去重流程，当前材料尚不足以重建微博总体用户的抽样概率。本文不能外推为微博全体用户的总体比例。</w:t>
      </w:r>
    </w:p>
    <w:p>
      <w:pPr>
        <w:keepLines/>
        <w:spacing w:lineRule="auto" w:line="324" w:after="120"/>
        <w:ind w:firstLine="420"/>
        <w:jc w:val="both"/>
      </w:pPr>
      <w:r>
        <w:rPr>
          <w:rFonts w:ascii="STSong" w:hAnsi="STSong" w:eastAsia="STSong" w:cs="STSong" w:hint="eastAsia"/>
          <w:b w:val="0"/>
          <w:i w:val="0"/>
          <w:color w:val="202124"/>
          <w:sz w:val="21"/>
          <w:lang w:val="zh-CN" w:eastAsia="zh-CN"/>
        </w:rPr>
        <w:t>第二，平台性别字段只有男性和女性两类，可能与实际使用者不一致，也无法呈现多元性别。本文因此使用“男性编码账号”和“女性编码账号”。</w:t>
      </w:r>
    </w:p>
    <w:p>
      <w:pPr>
        <w:keepLines/>
        <w:spacing w:lineRule="auto" w:line="324" w:after="120"/>
        <w:ind w:firstLine="420"/>
        <w:jc w:val="both"/>
      </w:pPr>
      <w:r>
        <w:rPr>
          <w:rFonts w:ascii="STSong" w:hAnsi="STSong" w:eastAsia="STSong" w:cs="STSong" w:hint="eastAsia"/>
          <w:b w:val="0"/>
          <w:i w:val="0"/>
          <w:color w:val="202124"/>
          <w:sz w:val="21"/>
          <w:lang w:val="zh-CN" w:eastAsia="zh-CN"/>
        </w:rPr>
        <w:t xml:space="preserve">第三，个人账号分类依赖对 </w:t>
      </w:r>
      <w:r>
        <w:rPr>
          <w:rFonts w:ascii="STSong" w:hAnsi="STSong" w:eastAsia="STSong" w:cs="STSong" w:hint="eastAsia"/>
          <w:b w:val="0"/>
          <w:i w:val="0"/>
          <w:color w:val="1F435B"/>
          <w:sz w:val="19"/>
          <w:lang w:val="zh-CN" w:eastAsia="zh-CN"/>
        </w:rPr>
        <w:t>verified_type</w:t>
      </w:r>
      <w:r>
        <w:rPr>
          <w:rFonts w:ascii="STSong" w:hAnsi="STSong" w:eastAsia="STSong" w:cs="STSong" w:hint="eastAsia"/>
          <w:b w:val="0"/>
          <w:i w:val="0"/>
          <w:color w:val="202124"/>
          <w:sz w:val="21"/>
          <w:lang w:val="zh-CN" w:eastAsia="zh-CN"/>
        </w:rPr>
        <w:t xml:space="preserve"> 代码1—7的研究者解释。正式投稿前需要补充官方码表或人工核验样本，报告各代码的账号示例与错分率。</w:t>
      </w:r>
    </w:p>
    <w:p>
      <w:pPr>
        <w:keepLines/>
        <w:spacing w:lineRule="auto" w:line="324" w:after="120"/>
        <w:ind w:firstLine="420"/>
        <w:jc w:val="both"/>
      </w:pPr>
      <w:r>
        <w:rPr>
          <w:rFonts w:ascii="STSong" w:hAnsi="STSong" w:eastAsia="STSong" w:cs="STSong" w:hint="eastAsia"/>
          <w:b w:val="0"/>
          <w:i w:val="0"/>
          <w:color w:val="202124"/>
          <w:sz w:val="21"/>
          <w:lang w:val="zh-CN" w:eastAsia="zh-CN"/>
        </w:rPr>
        <w:t>第四，公共事务来源使用2025年名单回溯识别2020年账号。需要核验历史身份、昵称变更和账号归属。来源传播还高度集中于少数头部账号，不能代表所有公共信息来源的平均反应。</w:t>
      </w:r>
    </w:p>
    <w:p>
      <w:pPr>
        <w:keepLines/>
        <w:spacing w:lineRule="auto" w:line="324" w:after="120"/>
        <w:ind w:firstLine="420"/>
        <w:jc w:val="both"/>
      </w:pPr>
      <w:r>
        <w:rPr>
          <w:rFonts w:ascii="STSong" w:hAnsi="STSong" w:eastAsia="STSong" w:cs="STSong" w:hint="eastAsia"/>
          <w:b w:val="0"/>
          <w:i w:val="0"/>
          <w:color w:val="202124"/>
          <w:sz w:val="21"/>
          <w:lang w:val="zh-CN" w:eastAsia="zh-CN"/>
        </w:rPr>
        <w:t>第五，字符串命中不能自动识别支持、反对、讽刺、广告、榜单任务和偶然提及。600条分层语境样本需要完成双人编码，并报告精确率、主要误判类型和编码一致性。</w:t>
      </w:r>
    </w:p>
    <w:p>
      <w:pPr>
        <w:keepLines/>
        <w:spacing w:lineRule="auto" w:line="324" w:after="120"/>
        <w:ind w:firstLine="420"/>
        <w:jc w:val="both"/>
      </w:pPr>
      <w:r>
        <w:rPr>
          <w:rFonts w:ascii="STSong" w:hAnsi="STSong" w:eastAsia="STSong" w:cs="STSong" w:hint="eastAsia"/>
          <w:b w:val="0"/>
          <w:i w:val="0"/>
          <w:color w:val="202124"/>
          <w:sz w:val="21"/>
          <w:lang w:val="zh-CN" w:eastAsia="zh-CN"/>
        </w:rPr>
        <w:t>第六，表A和表B的日期目前来自文件名，且与帖子时间戳存在高比例不一致。在日期含义得到解释并用真实时间重建指标前，月度趋势、活跃天数、活跃月份、留一月份和参与持续性均不进入本文结论。</w:t>
      </w:r>
    </w:p>
    <w:p>
      <w:pPr>
        <w:keepLines/>
        <w:spacing w:lineRule="auto" w:line="324" w:after="120"/>
        <w:ind w:firstLine="420"/>
        <w:jc w:val="both"/>
      </w:pPr>
      <w:r>
        <w:rPr>
          <w:rFonts w:ascii="STSong" w:hAnsi="STSong" w:eastAsia="STSong" w:cs="STSong" w:hint="eastAsia"/>
          <w:b w:val="0"/>
          <w:i w:val="0"/>
          <w:color w:val="202124"/>
          <w:sz w:val="21"/>
          <w:lang w:val="zh-CN" w:eastAsia="zh-CN"/>
        </w:rPr>
        <w:t>第七，现有结果来自带未提交修改的运行环境。四项个人账号核心估计已由结果表复核，但完整可复现版本仍需从干净Git提交运行，统一结果批次的提交号，并保存来源名单和词表指纹。SLURM续跑条件也应从“仅检查12月文件”改为核对全部预期月份。</w:t>
      </w:r>
    </w:p>
    <w:p>
      <w:pPr>
        <w:keepLines/>
        <w:spacing w:lineRule="auto" w:line="324" w:after="120"/>
        <w:ind w:firstLine="420"/>
        <w:jc w:val="both"/>
      </w:pPr>
      <w:r>
        <w:rPr>
          <w:rFonts w:ascii="STSong" w:hAnsi="STSong" w:eastAsia="STSong" w:cs="STSong" w:hint="eastAsia"/>
          <w:b w:val="0"/>
          <w:i w:val="0"/>
          <w:color w:val="202124"/>
          <w:sz w:val="21"/>
          <w:lang w:val="zh-CN" w:eastAsia="zh-CN"/>
        </w:rPr>
        <w:t>第八，观察性数据无法识别性别、账号角色、平台曝光与领域参与之间的因果关系。M1使总体行为机会更可比，M2检验资料完整样本的方向稳定性；二者都不构成随机化控制。</w:t>
      </w:r>
    </w:p>
    <w:p>
      <w:pPr>
        <w:pStyle w:val="Heading1"/>
      </w:pPr>
      <w:r>
        <w:t>七、结论</w:t>
      </w:r>
    </w:p>
    <w:p>
      <w:pPr>
        <w:keepLines/>
        <w:spacing w:lineRule="auto" w:line="324" w:after="120"/>
        <w:ind w:firstLine="420"/>
        <w:jc w:val="both"/>
      </w:pPr>
      <w:r>
        <w:rPr>
          <w:rFonts w:ascii="STSong" w:hAnsi="STSong" w:eastAsia="STSong" w:cs="STSong" w:hint="eastAsia"/>
          <w:b w:val="0"/>
          <w:i w:val="0"/>
          <w:color w:val="202124"/>
          <w:sz w:val="21"/>
          <w:lang w:val="zh-CN" w:eastAsia="zh-CN"/>
        </w:rPr>
        <w:t>微博个人账号在公共事务与明星文化中呈现方向相反的性别差异。活动量相近时，男性编码账号更常转发公共事务来源，女性编码账号更常转发演艺来源；男性编码账号的公共事务内容比例更高，女性编码账号的明星内容比例更高。两个领域的差异距离在内容表达中大于来源传播，说明可见参与的性别分化主要体现在公开谈论什么。</w:t>
      </w:r>
    </w:p>
    <w:p>
      <w:pPr>
        <w:keepLines/>
        <w:spacing w:lineRule="auto" w:line="324" w:after="120"/>
        <w:ind w:firstLine="420"/>
        <w:jc w:val="both"/>
      </w:pPr>
      <w:r>
        <w:rPr>
          <w:rFonts w:ascii="STSong" w:hAnsi="STSong" w:eastAsia="STSong" w:cs="STSong" w:hint="eastAsia"/>
          <w:b w:val="0"/>
          <w:i w:val="0"/>
          <w:color w:val="202124"/>
          <w:sz w:val="21"/>
          <w:lang w:val="zh-CN" w:eastAsia="zh-CN"/>
        </w:rPr>
        <w:t>将机构账号纳入后，公共事务差异明显扩大。平台中的性别化信息结构既来自个人账号的行为配置，也来自账号类型与属性编码。对数字痕迹中的性别差异进行解释，必须同时说明研究对象是谁、哪些行为被计入、领域边界如何构造，以及平台分类将哪些主体放在一起。</w:t>
      </w:r>
    </w:p>
    <w:p>
      <w:pPr>
        <w:keepLines/>
        <w:spacing w:lineRule="auto" w:line="324" w:after="120"/>
        <w:ind w:firstLine="420"/>
        <w:jc w:val="both"/>
      </w:pPr>
      <w:r>
        <w:rPr>
          <w:rFonts w:ascii="STSong" w:hAnsi="STSong" w:eastAsia="STSong" w:cs="STSong" w:hint="eastAsia"/>
          <w:b w:val="0"/>
          <w:i w:val="0"/>
          <w:color w:val="202124"/>
          <w:sz w:val="21"/>
          <w:lang w:val="zh-CN" w:eastAsia="zh-CN"/>
        </w:rPr>
        <w:t>本文当前能够支持的是描述性结论：男性编码和女性编码个人账号在两个信息领域中留下了不同方向、不同幅度的可见参与痕迹。关于私人兴趣、表达成本、算法曝光和社群组织的机制，需要在完成账号类型核验、语境编码和时间字段修复后，结合新的数据设计继续检验。</w:t>
      </w:r>
    </w:p>
    <w:p>
      <w:pPr>
        <w:pStyle w:val="Heading1"/>
      </w:pPr>
      <w:r>
        <w:t>参考文献</w:t>
      </w:r>
    </w:p>
    <w:p>
      <w:pPr>
        <w:keepLines/>
        <w:spacing w:line="276" w:lineRule="auto" w:after="80"/>
        <w:ind w:left="346" w:hanging="346"/>
        <w:jc w:val="left"/>
      </w:pPr>
      <w:r>
        <w:rPr>
          <w:rFonts w:ascii="Times New Roman" w:hAnsi="Times New Roman" w:eastAsia="STSong" w:cs="Times New Roman"/>
          <w:b w:val="0"/>
          <w:i w:val="0"/>
          <w:color w:val="202124"/>
          <w:sz w:val="19"/>
          <w:lang w:val="en-US" w:eastAsia="zh-CN"/>
        </w:rPr>
        <w:t xml:space="preserve">Bennett, Linda L. M., and Stephen Earl Bennett. 1989. “Enduring Gender Differences in Political Interest: The Impact of Socialization and Political Dispositions.” </w:t>
      </w:r>
      <w:r>
        <w:rPr>
          <w:rFonts w:ascii="Times New Roman" w:hAnsi="Times New Roman" w:eastAsia="STSong" w:cs="Times New Roman"/>
          <w:b w:val="0"/>
          <w:i/>
          <w:color w:val="202124"/>
          <w:sz w:val="19"/>
          <w:lang w:val="en-US" w:eastAsia="zh-CN"/>
        </w:rPr>
        <w:t>American Politics Quarterly</w:t>
      </w:r>
      <w:r>
        <w:rPr>
          <w:rFonts w:ascii="Times New Roman" w:hAnsi="Times New Roman" w:eastAsia="STSong" w:cs="Times New Roman"/>
          <w:b w:val="0"/>
          <w:i w:val="0"/>
          <w:color w:val="202124"/>
          <w:sz w:val="19"/>
          <w:lang w:val="en-US" w:eastAsia="zh-CN"/>
        </w:rPr>
        <w:t xml:space="preserve"> 17(1): 105–122.</w:t>
      </w:r>
    </w:p>
    <w:p>
      <w:pPr>
        <w:keepLines/>
        <w:spacing w:line="276" w:lineRule="auto" w:after="80"/>
        <w:ind w:left="346" w:hanging="346"/>
        <w:jc w:val="left"/>
      </w:pPr>
      <w:r>
        <w:rPr>
          <w:rFonts w:ascii="Times New Roman" w:hAnsi="Times New Roman" w:eastAsia="STSong" w:cs="Times New Roman"/>
          <w:b w:val="0"/>
          <w:i w:val="0"/>
          <w:color w:val="202124"/>
          <w:sz w:val="19"/>
          <w:lang w:val="en-US" w:eastAsia="zh-CN"/>
        </w:rPr>
        <w:t xml:space="preserve">Bode, Leticia. 2017. “Closing the Gap: Gender Parity in Political Engagement on Social Media.” </w:t>
      </w:r>
      <w:r>
        <w:rPr>
          <w:rFonts w:ascii="Times New Roman" w:hAnsi="Times New Roman" w:eastAsia="STSong" w:cs="Times New Roman"/>
          <w:b w:val="0"/>
          <w:i/>
          <w:color w:val="202124"/>
          <w:sz w:val="19"/>
          <w:lang w:val="en-US" w:eastAsia="zh-CN"/>
        </w:rPr>
        <w:t>Information, Communication &amp; Society</w:t>
      </w:r>
      <w:r>
        <w:rPr>
          <w:rFonts w:ascii="Times New Roman" w:hAnsi="Times New Roman" w:eastAsia="STSong" w:cs="Times New Roman"/>
          <w:b w:val="0"/>
          <w:i w:val="0"/>
          <w:color w:val="202124"/>
          <w:sz w:val="19"/>
          <w:lang w:val="en-US" w:eastAsia="zh-CN"/>
        </w:rPr>
        <w:t xml:space="preserve"> 20(4): 587–603.</w:t>
      </w:r>
    </w:p>
    <w:p>
      <w:pPr>
        <w:keepLines/>
        <w:spacing w:line="276" w:lineRule="auto" w:after="80"/>
        <w:ind w:left="346" w:hanging="346"/>
        <w:jc w:val="left"/>
      </w:pPr>
      <w:r>
        <w:rPr>
          <w:rFonts w:ascii="Times New Roman" w:hAnsi="Times New Roman" w:eastAsia="STSong" w:cs="Times New Roman"/>
          <w:b w:val="0"/>
          <w:i w:val="0"/>
          <w:color w:val="202124"/>
          <w:sz w:val="19"/>
          <w:lang w:val="en-US" w:eastAsia="zh-CN"/>
        </w:rPr>
        <w:t xml:space="preserve">Coffé, Hilde. 2013. “Women Stay Local, Men Go National and Global? Gender Differences in Political Interest.” </w:t>
      </w:r>
      <w:r>
        <w:rPr>
          <w:rFonts w:ascii="Times New Roman" w:hAnsi="Times New Roman" w:eastAsia="STSong" w:cs="Times New Roman"/>
          <w:b w:val="0"/>
          <w:i/>
          <w:color w:val="202124"/>
          <w:sz w:val="19"/>
          <w:lang w:val="en-US" w:eastAsia="zh-CN"/>
        </w:rPr>
        <w:t>Sex Roles</w:t>
      </w:r>
      <w:r>
        <w:rPr>
          <w:rFonts w:ascii="Times New Roman" w:hAnsi="Times New Roman" w:eastAsia="STSong" w:cs="Times New Roman"/>
          <w:b w:val="0"/>
          <w:i w:val="0"/>
          <w:color w:val="202124"/>
          <w:sz w:val="19"/>
          <w:lang w:val="en-US" w:eastAsia="zh-CN"/>
        </w:rPr>
        <w:t xml:space="preserve"> 69(5–6): 323–338.</w:t>
      </w:r>
    </w:p>
    <w:p>
      <w:pPr>
        <w:keepLines/>
        <w:spacing w:line="276" w:lineRule="auto" w:after="80"/>
        <w:ind w:left="346" w:hanging="346"/>
        <w:jc w:val="left"/>
      </w:pPr>
      <w:r>
        <w:rPr>
          <w:rFonts w:ascii="Times New Roman" w:hAnsi="Times New Roman" w:eastAsia="STSong" w:cs="Times New Roman"/>
          <w:b w:val="0"/>
          <w:i w:val="0"/>
          <w:color w:val="202124"/>
          <w:sz w:val="19"/>
          <w:lang w:val="en-US" w:eastAsia="zh-CN"/>
        </w:rPr>
        <w:t xml:space="preserve">Couldry, Nick, Sonia Livingstone, and Tim Markham. 2007. </w:t>
      </w:r>
      <w:r>
        <w:rPr>
          <w:rFonts w:ascii="Times New Roman" w:hAnsi="Times New Roman" w:eastAsia="STSong" w:cs="Times New Roman"/>
          <w:b w:val="0"/>
          <w:i/>
          <w:color w:val="202124"/>
          <w:sz w:val="19"/>
          <w:lang w:val="en-US" w:eastAsia="zh-CN"/>
        </w:rPr>
        <w:t>Media Consumption and Public Engagement: Beyond the Presumption of Attention</w:t>
      </w:r>
      <w:r>
        <w:rPr>
          <w:rFonts w:ascii="Times New Roman" w:hAnsi="Times New Roman" w:eastAsia="STSong" w:cs="Times New Roman"/>
          <w:b w:val="0"/>
          <w:i w:val="0"/>
          <w:color w:val="202124"/>
          <w:sz w:val="19"/>
          <w:lang w:val="en-US" w:eastAsia="zh-CN"/>
        </w:rPr>
        <w:t>. Basingstoke: Palgrave Macmillan.</w:t>
      </w:r>
    </w:p>
    <w:p>
      <w:pPr>
        <w:keepLines/>
        <w:spacing w:line="276" w:lineRule="auto" w:after="80"/>
        <w:ind w:left="346" w:hanging="346"/>
        <w:jc w:val="left"/>
      </w:pPr>
      <w:r>
        <w:rPr>
          <w:rFonts w:ascii="Times New Roman" w:hAnsi="Times New Roman" w:eastAsia="STSong" w:cs="Times New Roman"/>
          <w:b w:val="0"/>
          <w:i w:val="0"/>
          <w:color w:val="202124"/>
          <w:sz w:val="19"/>
          <w:lang w:val="en-US" w:eastAsia="zh-CN"/>
        </w:rPr>
        <w:t xml:space="preserve">Ferrín, Mónica, Marta Fraile, Gema M. García-Albacete, and Raul Gómez. 2020. “The Gender Gap in Political Interest Revisited.” </w:t>
      </w:r>
      <w:r>
        <w:rPr>
          <w:rFonts w:ascii="Times New Roman" w:hAnsi="Times New Roman" w:eastAsia="STSong" w:cs="Times New Roman"/>
          <w:b w:val="0"/>
          <w:i/>
          <w:color w:val="202124"/>
          <w:sz w:val="19"/>
          <w:lang w:val="en-US" w:eastAsia="zh-CN"/>
        </w:rPr>
        <w:t>International Political Science Review</w:t>
      </w:r>
      <w:r>
        <w:rPr>
          <w:rFonts w:ascii="Times New Roman" w:hAnsi="Times New Roman" w:eastAsia="STSong" w:cs="Times New Roman"/>
          <w:b w:val="0"/>
          <w:i w:val="0"/>
          <w:color w:val="202124"/>
          <w:sz w:val="19"/>
          <w:lang w:val="en-US" w:eastAsia="zh-CN"/>
        </w:rPr>
        <w:t xml:space="preserve"> 41(4): 473–489.</w:t>
      </w:r>
    </w:p>
    <w:p>
      <w:pPr>
        <w:keepLines/>
        <w:spacing w:line="276" w:lineRule="auto" w:after="80"/>
        <w:ind w:left="346" w:hanging="346"/>
        <w:jc w:val="left"/>
      </w:pPr>
      <w:r>
        <w:rPr>
          <w:rFonts w:ascii="Times New Roman" w:hAnsi="Times New Roman" w:eastAsia="STSong" w:cs="Times New Roman"/>
          <w:b w:val="0"/>
          <w:i w:val="0"/>
          <w:color w:val="202124"/>
          <w:sz w:val="19"/>
          <w:lang w:val="en-US" w:eastAsia="zh-CN"/>
        </w:rPr>
        <w:t xml:space="preserve">Fraile, Marta, and Irene Sánchez-Vítores. 2020. “Tracing the Gender Gap in Political Interest Over the Life Span: A Panel Analysis.” </w:t>
      </w:r>
      <w:r>
        <w:rPr>
          <w:rFonts w:ascii="Times New Roman" w:hAnsi="Times New Roman" w:eastAsia="STSong" w:cs="Times New Roman"/>
          <w:b w:val="0"/>
          <w:i/>
          <w:color w:val="202124"/>
          <w:sz w:val="19"/>
          <w:lang w:val="en-US" w:eastAsia="zh-CN"/>
        </w:rPr>
        <w:t>Political Psychology</w:t>
      </w:r>
      <w:r>
        <w:rPr>
          <w:rFonts w:ascii="Times New Roman" w:hAnsi="Times New Roman" w:eastAsia="STSong" w:cs="Times New Roman"/>
          <w:b w:val="0"/>
          <w:i w:val="0"/>
          <w:color w:val="202124"/>
          <w:sz w:val="19"/>
          <w:lang w:val="en-US" w:eastAsia="zh-CN"/>
        </w:rPr>
        <w:t xml:space="preserve"> 41(1): 89–106.</w:t>
      </w:r>
    </w:p>
    <w:p>
      <w:pPr>
        <w:keepLines/>
        <w:spacing w:line="276" w:lineRule="auto" w:after="80"/>
        <w:ind w:left="346" w:hanging="346"/>
        <w:jc w:val="left"/>
      </w:pPr>
      <w:r>
        <w:rPr>
          <w:rFonts w:ascii="Times New Roman" w:hAnsi="Times New Roman" w:eastAsia="STSong" w:cs="Times New Roman"/>
          <w:b w:val="0"/>
          <w:i w:val="0"/>
          <w:color w:val="202124"/>
          <w:sz w:val="19"/>
          <w:lang w:val="en-US" w:eastAsia="zh-CN"/>
        </w:rPr>
        <w:t xml:space="preserve">He, Qijun, and Yungeng Li. 2023. “Civic Engagement Intention and the Data-Driven Fan Community.” </w:t>
      </w:r>
      <w:r>
        <w:rPr>
          <w:rFonts w:ascii="Times New Roman" w:hAnsi="Times New Roman" w:eastAsia="STSong" w:cs="Times New Roman"/>
          <w:b w:val="0"/>
          <w:i/>
          <w:color w:val="202124"/>
          <w:sz w:val="19"/>
          <w:lang w:val="en-US" w:eastAsia="zh-CN"/>
        </w:rPr>
        <w:t>Social Media + Society</w:t>
      </w:r>
      <w:r>
        <w:rPr>
          <w:rFonts w:ascii="Times New Roman" w:hAnsi="Times New Roman" w:eastAsia="STSong" w:cs="Times New Roman"/>
          <w:b w:val="0"/>
          <w:i w:val="0"/>
          <w:color w:val="202124"/>
          <w:sz w:val="19"/>
          <w:lang w:val="en-US" w:eastAsia="zh-CN"/>
        </w:rPr>
        <w:t xml:space="preserve"> 9(1).</w:t>
      </w:r>
    </w:p>
    <w:p>
      <w:pPr>
        <w:keepLines/>
        <w:spacing w:line="276" w:lineRule="auto" w:after="80"/>
        <w:ind w:left="346" w:hanging="346"/>
        <w:jc w:val="left"/>
      </w:pPr>
      <w:r>
        <w:rPr>
          <w:rFonts w:ascii="Times New Roman" w:hAnsi="Times New Roman" w:eastAsia="STSong" w:cs="Times New Roman"/>
          <w:b w:val="0"/>
          <w:i w:val="0"/>
          <w:color w:val="202124"/>
          <w:sz w:val="19"/>
          <w:lang w:val="en-US" w:eastAsia="zh-CN"/>
        </w:rPr>
        <w:t xml:space="preserve">Koc-Michalska, Karolina, Anya Schiffrin, Anamaria Lopez, Shelley Boulianne, and Bruce Bimber. 2021. “From Online Political Posting to Mansplaining.” </w:t>
      </w:r>
      <w:r>
        <w:rPr>
          <w:rFonts w:ascii="Times New Roman" w:hAnsi="Times New Roman" w:eastAsia="STSong" w:cs="Times New Roman"/>
          <w:b w:val="0"/>
          <w:i/>
          <w:color w:val="202124"/>
          <w:sz w:val="19"/>
          <w:lang w:val="en-US" w:eastAsia="zh-CN"/>
        </w:rPr>
        <w:t>Social Science Computer Review</w:t>
      </w:r>
      <w:r>
        <w:rPr>
          <w:rFonts w:ascii="Times New Roman" w:hAnsi="Times New Roman" w:eastAsia="STSong" w:cs="Times New Roman"/>
          <w:b w:val="0"/>
          <w:i w:val="0"/>
          <w:color w:val="202124"/>
          <w:sz w:val="19"/>
          <w:lang w:val="en-US" w:eastAsia="zh-CN"/>
        </w:rPr>
        <w:t xml:space="preserve"> 39(2): 197–210.</w:t>
      </w:r>
    </w:p>
    <w:p>
      <w:pPr>
        <w:keepLines/>
        <w:spacing w:line="276" w:lineRule="auto" w:after="80"/>
        <w:ind w:left="346" w:hanging="346"/>
        <w:jc w:val="left"/>
      </w:pPr>
      <w:r>
        <w:rPr>
          <w:rFonts w:ascii="Times New Roman" w:hAnsi="Times New Roman" w:eastAsia="STSong" w:cs="Times New Roman"/>
          <w:b w:val="0"/>
          <w:i w:val="0"/>
          <w:color w:val="202124"/>
          <w:sz w:val="19"/>
          <w:lang w:val="en-US" w:eastAsia="zh-CN"/>
        </w:rPr>
        <w:t xml:space="preserve">Prior, Markus. 2005. “News vs. Entertainment: How Increasing Media Choice Widens Gaps in Political Knowledge and Turnout.” </w:t>
      </w:r>
      <w:r>
        <w:rPr>
          <w:rFonts w:ascii="Times New Roman" w:hAnsi="Times New Roman" w:eastAsia="STSong" w:cs="Times New Roman"/>
          <w:b w:val="0"/>
          <w:i/>
          <w:color w:val="202124"/>
          <w:sz w:val="19"/>
          <w:lang w:val="en-US" w:eastAsia="zh-CN"/>
        </w:rPr>
        <w:t>American Journal of Political Science</w:t>
      </w:r>
      <w:r>
        <w:rPr>
          <w:rFonts w:ascii="Times New Roman" w:hAnsi="Times New Roman" w:eastAsia="STSong" w:cs="Times New Roman"/>
          <w:b w:val="0"/>
          <w:i w:val="0"/>
          <w:color w:val="202124"/>
          <w:sz w:val="19"/>
          <w:lang w:val="en-US" w:eastAsia="zh-CN"/>
        </w:rPr>
        <w:t xml:space="preserve"> 49(3): 577–592.</w:t>
      </w:r>
    </w:p>
    <w:p>
      <w:pPr>
        <w:keepLines/>
        <w:spacing w:line="276" w:lineRule="auto" w:after="80"/>
        <w:ind w:left="346" w:hanging="346"/>
        <w:jc w:val="left"/>
      </w:pPr>
      <w:r>
        <w:rPr>
          <w:rFonts w:ascii="Times New Roman" w:hAnsi="Times New Roman" w:eastAsia="STSong" w:cs="Times New Roman"/>
          <w:b w:val="0"/>
          <w:i w:val="0"/>
          <w:color w:val="202124"/>
          <w:sz w:val="19"/>
          <w:lang w:val="en-US" w:eastAsia="zh-CN"/>
        </w:rPr>
        <w:t xml:space="preserve">Sen, Indira, Fabian Flöck, Katrin Weller, Bernd Weiß, and Claudia Wagner. 2021. “A Total Error Framework for Digital Traces of Human Behavior on Online Platforms.” </w:t>
      </w:r>
      <w:r>
        <w:rPr>
          <w:rFonts w:ascii="Times New Roman" w:hAnsi="Times New Roman" w:eastAsia="STSong" w:cs="Times New Roman"/>
          <w:b w:val="0"/>
          <w:i/>
          <w:color w:val="202124"/>
          <w:sz w:val="19"/>
          <w:lang w:val="en-US" w:eastAsia="zh-CN"/>
        </w:rPr>
        <w:t>Public Opinion Quarterly</w:t>
      </w:r>
      <w:r>
        <w:rPr>
          <w:rFonts w:ascii="Times New Roman" w:hAnsi="Times New Roman" w:eastAsia="STSong" w:cs="Times New Roman"/>
          <w:b w:val="0"/>
          <w:i w:val="0"/>
          <w:color w:val="202124"/>
          <w:sz w:val="19"/>
          <w:lang w:val="en-US" w:eastAsia="zh-CN"/>
        </w:rPr>
        <w:t xml:space="preserve"> 85(S1): 399–422.</w:t>
      </w:r>
    </w:p>
    <w:p>
      <w:pPr>
        <w:keepLines/>
        <w:spacing w:line="276" w:lineRule="auto" w:after="80"/>
        <w:ind w:left="346" w:hanging="346"/>
        <w:jc w:val="left"/>
      </w:pPr>
      <w:r>
        <w:rPr>
          <w:rFonts w:ascii="Times New Roman" w:hAnsi="Times New Roman" w:eastAsia="STSong" w:cs="Times New Roman"/>
          <w:b w:val="0"/>
          <w:i w:val="0"/>
          <w:color w:val="202124"/>
          <w:sz w:val="19"/>
          <w:lang w:val="en-US" w:eastAsia="zh-CN"/>
        </w:rPr>
        <w:t xml:space="preserve">Strömbäck, Jesper, Monika Djerf-Pierre, and Adam Shehata. 2013. “The Dynamics of Political Interest and News Media Consumption.” </w:t>
      </w:r>
      <w:r>
        <w:rPr>
          <w:rFonts w:ascii="Times New Roman" w:hAnsi="Times New Roman" w:eastAsia="STSong" w:cs="Times New Roman"/>
          <w:b w:val="0"/>
          <w:i/>
          <w:color w:val="202124"/>
          <w:sz w:val="19"/>
          <w:lang w:val="en-US" w:eastAsia="zh-CN"/>
        </w:rPr>
        <w:t>International Journal of Public Opinion Research</w:t>
      </w:r>
      <w:r>
        <w:rPr>
          <w:rFonts w:ascii="Times New Roman" w:hAnsi="Times New Roman" w:eastAsia="STSong" w:cs="Times New Roman"/>
          <w:b w:val="0"/>
          <w:i w:val="0"/>
          <w:color w:val="202124"/>
          <w:sz w:val="19"/>
          <w:lang w:val="en-US" w:eastAsia="zh-CN"/>
        </w:rPr>
        <w:t xml:space="preserve"> 25(4): 414–435.</w:t>
      </w:r>
    </w:p>
    <w:p>
      <w:pPr>
        <w:keepLines/>
        <w:spacing w:line="276" w:lineRule="auto" w:after="80"/>
        <w:ind w:left="346" w:hanging="346"/>
        <w:jc w:val="left"/>
      </w:pPr>
      <w:r>
        <w:rPr>
          <w:rFonts w:ascii="Times New Roman" w:hAnsi="Times New Roman" w:eastAsia="STSong" w:cs="Times New Roman"/>
          <w:b w:val="0"/>
          <w:i w:val="0"/>
          <w:color w:val="202124"/>
          <w:sz w:val="19"/>
          <w:lang w:val="en-US" w:eastAsia="zh-CN"/>
        </w:rPr>
        <w:t xml:space="preserve">Thorson, Kjerstin, Kelley Cotter, Mel Medeiros, and Chankyung Pak. 2021. “Algorithmic Inference, Political Interest, and Exposure to News and Politics on Facebook.” </w:t>
      </w:r>
      <w:r>
        <w:rPr>
          <w:rFonts w:ascii="Times New Roman" w:hAnsi="Times New Roman" w:eastAsia="STSong" w:cs="Times New Roman"/>
          <w:b w:val="0"/>
          <w:i/>
          <w:color w:val="202124"/>
          <w:sz w:val="19"/>
          <w:lang w:val="en-US" w:eastAsia="zh-CN"/>
        </w:rPr>
        <w:t>Information, Communication &amp; Society</w:t>
      </w:r>
      <w:r>
        <w:rPr>
          <w:rFonts w:ascii="Times New Roman" w:hAnsi="Times New Roman" w:eastAsia="STSong" w:cs="Times New Roman"/>
          <w:b w:val="0"/>
          <w:i w:val="0"/>
          <w:color w:val="202124"/>
          <w:sz w:val="19"/>
          <w:lang w:val="en-US" w:eastAsia="zh-CN"/>
        </w:rPr>
        <w:t xml:space="preserve"> 24(2): 183–200.</w:t>
      </w:r>
    </w:p>
    <w:p>
      <w:pPr>
        <w:keepLines/>
        <w:spacing w:line="276" w:lineRule="auto" w:after="80"/>
        <w:ind w:left="346" w:hanging="346"/>
        <w:jc w:val="left"/>
      </w:pPr>
      <w:r>
        <w:rPr>
          <w:rFonts w:ascii="Times New Roman" w:hAnsi="Times New Roman" w:eastAsia="STSong" w:cs="Times New Roman"/>
          <w:b w:val="0"/>
          <w:i w:val="0"/>
          <w:color w:val="202124"/>
          <w:sz w:val="19"/>
          <w:lang w:val="en-US" w:eastAsia="zh-CN"/>
        </w:rPr>
        <w:t xml:space="preserve">Verba, Sidney, Nancy Burns, and Kay Lehman Schlozman. 1997. “Knowing and Caring about Politics: Gender and Political Engagement.” </w:t>
      </w:r>
      <w:r>
        <w:rPr>
          <w:rFonts w:ascii="Times New Roman" w:hAnsi="Times New Roman" w:eastAsia="STSong" w:cs="Times New Roman"/>
          <w:b w:val="0"/>
          <w:i/>
          <w:color w:val="202124"/>
          <w:sz w:val="19"/>
          <w:lang w:val="en-US" w:eastAsia="zh-CN"/>
        </w:rPr>
        <w:t>The Journal of Politics</w:t>
      </w:r>
      <w:r>
        <w:rPr>
          <w:rFonts w:ascii="Times New Roman" w:hAnsi="Times New Roman" w:eastAsia="STSong" w:cs="Times New Roman"/>
          <w:b w:val="0"/>
          <w:i w:val="0"/>
          <w:color w:val="202124"/>
          <w:sz w:val="19"/>
          <w:lang w:val="en-US" w:eastAsia="zh-CN"/>
        </w:rPr>
        <w:t xml:space="preserve"> 59(4): 1051–1072.</w:t>
      </w:r>
    </w:p>
    <w:p>
      <w:pPr>
        <w:keepLines/>
        <w:spacing w:line="276" w:lineRule="auto" w:after="80"/>
        <w:ind w:left="346" w:hanging="346"/>
        <w:jc w:val="left"/>
      </w:pPr>
      <w:r>
        <w:rPr>
          <w:rFonts w:ascii="Times New Roman" w:hAnsi="Times New Roman" w:eastAsia="STSong" w:cs="Times New Roman"/>
          <w:b w:val="0"/>
          <w:i w:val="0"/>
          <w:color w:val="202124"/>
          <w:sz w:val="19"/>
          <w:lang w:val="en-US" w:eastAsia="zh-CN"/>
        </w:rPr>
        <w:t xml:space="preserve">Yin, Yiyi. 2020. “An Emergent Algorithmic Culture: The Data-ization of Online Fandom in China.” </w:t>
      </w:r>
      <w:r>
        <w:rPr>
          <w:rFonts w:ascii="Times New Roman" w:hAnsi="Times New Roman" w:eastAsia="STSong" w:cs="Times New Roman"/>
          <w:b w:val="0"/>
          <w:i/>
          <w:color w:val="202124"/>
          <w:sz w:val="19"/>
          <w:lang w:val="en-US" w:eastAsia="zh-CN"/>
        </w:rPr>
        <w:t>International Journal of Cultural Studies</w:t>
      </w:r>
      <w:r>
        <w:rPr>
          <w:rFonts w:ascii="Times New Roman" w:hAnsi="Times New Roman" w:eastAsia="STSong" w:cs="Times New Roman"/>
          <w:b w:val="0"/>
          <w:i w:val="0"/>
          <w:color w:val="202124"/>
          <w:sz w:val="19"/>
          <w:lang w:val="en-US" w:eastAsia="zh-CN"/>
        </w:rPr>
        <w:t xml:space="preserve"> 23(4): 475–492.</w:t>
      </w:r>
    </w:p>
    <w:p>
      <w:pPr>
        <w:keepLines/>
        <w:spacing w:line="276" w:lineRule="auto" w:after="80"/>
        <w:ind w:left="346" w:hanging="346"/>
        <w:jc w:val="left"/>
      </w:pPr>
      <w:r>
        <w:rPr>
          <w:rFonts w:ascii="Times New Roman" w:hAnsi="Times New Roman" w:eastAsia="STSong" w:cs="Times New Roman"/>
          <w:b w:val="0"/>
          <w:i w:val="0"/>
          <w:color w:val="202124"/>
          <w:sz w:val="19"/>
          <w:lang w:val="en-US" w:eastAsia="zh-CN"/>
        </w:rPr>
        <w:t xml:space="preserve">Zhang, Qian, and Keith Negus. 2020. “East Asian Pop Music Idol Production and the Emergence of Data Fandom in China.” </w:t>
      </w:r>
      <w:r>
        <w:rPr>
          <w:rFonts w:ascii="Times New Roman" w:hAnsi="Times New Roman" w:eastAsia="STSong" w:cs="Times New Roman"/>
          <w:b w:val="0"/>
          <w:i/>
          <w:color w:val="202124"/>
          <w:sz w:val="19"/>
          <w:lang w:val="en-US" w:eastAsia="zh-CN"/>
        </w:rPr>
        <w:t>International Journal of Cultural Studies</w:t>
      </w:r>
      <w:r>
        <w:rPr>
          <w:rFonts w:ascii="Times New Roman" w:hAnsi="Times New Roman" w:eastAsia="STSong" w:cs="Times New Roman"/>
          <w:b w:val="0"/>
          <w:i w:val="0"/>
          <w:color w:val="202124"/>
          <w:sz w:val="19"/>
          <w:lang w:val="en-US" w:eastAsia="zh-CN"/>
        </w:rPr>
        <w:t xml:space="preserve"> 23(4): 493–511.</w:t>
      </w:r>
    </w:p>
    <w:p>
      <w:pPr>
        <w:keepLines/>
        <w:spacing w:line="276" w:lineRule="auto" w:after="80"/>
        <w:ind w:left="346" w:hanging="346"/>
        <w:jc w:val="left"/>
      </w:pPr>
      <w:r>
        <w:rPr>
          <w:rFonts w:ascii="STSong" w:hAnsi="STSong" w:eastAsia="STSong" w:cs="STSong" w:hint="eastAsia"/>
          <w:b w:val="0"/>
          <w:i w:val="0"/>
          <w:color w:val="202124"/>
          <w:sz w:val="19"/>
          <w:lang w:val="zh-CN" w:eastAsia="zh-CN"/>
        </w:rPr>
        <w:t>刘太石，2025，《数字时代的中国青年文化变迁：趣味模式、社会区隔与平台化》，《社会学研究》第3期，第159—181页。</w:t>
      </w:r>
    </w:p>
    <w:p>
      <w:pPr>
        <w:pStyle w:val="Heading1"/>
      </w:pPr>
      <w:r>
        <w:t>附录：本版结果使用范围</w:t>
      </w:r>
    </w:p>
    <w:p>
      <w:pPr>
        <w:keepLines/>
        <w:spacing w:lineRule="auto" w:line="324" w:after="120"/>
        <w:ind w:firstLine="420"/>
        <w:jc w:val="both"/>
      </w:pPr>
      <w:r>
        <w:rPr>
          <w:rFonts w:ascii="STSong" w:hAnsi="STSong" w:eastAsia="STSong" w:cs="STSong" w:hint="eastAsia"/>
          <w:b w:val="0"/>
          <w:i w:val="0"/>
          <w:color w:val="202124"/>
          <w:sz w:val="21"/>
          <w:lang w:val="zh-CN" w:eastAsia="zh-CN"/>
        </w:rPr>
        <w:t>个人账号M0—M2四项核心结果与领域交互可进入主文。全账号结果只用于说明账号构成。转发次数模型存在5行拟合失败；转发延迟、月份、持续性、组合关系、个人账号内匹配和完整词表重采样尚未在可复现的个人主流水线中完成，因此不作为v3主结论。</w:t>
      </w:r>
    </w:p>
    <w:sectPr w:rsidR="00FC693F" w:rsidRPr="0006063C" w:rsidSect="00034616">
      <w:headerReference w:type="default" r:id="rId9"/>
      <w:footerReference w:type="default" r:id="rId10"/>
      <w:pgSz w:w="12240" w:h="15840"/>
      <w:pgMar w:top="1181" w:right="1296" w:bottom="1181" w:left="1296" w:header="504" w:footer="547"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3" w:color="D8E1E8"/>
      </w:pBdr>
    </w:pPr>
    <w:r>
      <w:rPr>
        <w:rFonts w:ascii="STSong" w:hAnsi="STSong" w:eastAsia="STSong" w:cs="STSong" w:hint="eastAsia"/>
        <w:b w:val="0"/>
        <w:i w:val="0"/>
        <w:color w:val="6B7280"/>
        <w:sz w:val="17"/>
        <w:lang w:val="zh-CN" w:eastAsia="zh-CN"/>
      </w:rPr>
      <w:t>性别化的信息领域参与｜v3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STSong" w:hAnsi="STSong" w:eastAsia="STSong" w:cs="STSong" w:hint="eastAsia"/>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STSong" w:hAnsi="STSong" w:eastAsia="STSong" w:cs="STSong" w:hint="eastAsia"/>
      <w:b/>
      <w:bCs/>
      <w:color w:val="2E5D7B"/>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STSong" w:hAnsi="STSong" w:eastAsia="STSong" w:cs="STSong" w:hint="eastAsia"/>
      <w:b/>
      <w:bCs/>
      <w:color w:val="1F435B"/>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STSong" w:hAnsi="STSong" w:eastAsia="STSong" w:cs="STSong" w:hint="eastAsia"/>
      <w:b/>
      <w:bCs/>
      <w:color w:val="1F435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80" w:line="240" w:lineRule="auto" w:before="0"/>
      <w:contextualSpacing/>
    </w:pPr>
    <w:rPr>
      <w:rFonts w:asciiTheme="majorHAnsi" w:eastAsiaTheme="majorEastAsia" w:hAnsiTheme="majorHAnsi" w:cstheme="majorBidi" w:ascii="STSong" w:hAnsi="STSong" w:eastAsia="STSong" w:cs="STSong" w:hint="eastAsia"/>
      <w:b/>
      <w:color w:val="1F435B"/>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200"/>
    </w:pPr>
    <w:rPr>
      <w:rFonts w:asciiTheme="majorHAnsi" w:eastAsiaTheme="majorEastAsia" w:hAnsiTheme="majorHAnsi" w:cstheme="majorBidi" w:ascii="STSong" w:hAnsi="STSong" w:eastAsia="STSong" w:cs="STSong" w:hint="eastAsia"/>
      <w:b w:val="0"/>
      <w:i/>
      <w:iCs/>
      <w:color w:val="6B728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80" w:after="160"/>
    </w:pPr>
    <w:rPr>
      <w:rFonts w:ascii="STSong" w:hAnsi="STSong" w:eastAsia="STSong" w:cs="STSong" w:hint="eastAsia"/>
      <w:b/>
      <w:bCs/>
      <w:color w:val="6B728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
    <w:name w:val="Abstract"/>
    <w:pPr>
      <w:spacing w:line="312" w:lineRule="auto" w:after="120"/>
      <w:ind w:left="360" w:right="360" w:firstLine="400"/>
    </w:pPr>
    <w:rPr>
      <w:rFonts w:ascii="STSong" w:hAnsi="STSong" w:eastAsia="STSong" w:cs="STSong" w:hint="eastAsia"/>
      <w:color w:val="2021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性别化的信息领域参与：微博个人账号的公共事务与明星文化传播和表达</dc:title>
  <dc:subject>论文长稿 v3（方法审计修订版）</dc:subject>
  <dc:creator>研究团队</dc:creator>
  <cp:keywords>性别差异, 社交媒体, 信息领域参与, 微博</cp:keywords>
  <dc:description>generated by python-docx</dc:description>
  <cp:lastModifiedBy/>
  <cp:revision>1</cp:revision>
  <dcterms:created xsi:type="dcterms:W3CDTF">2013-12-23T23:15:00Z</dcterms:created>
  <dcterms:modified xsi:type="dcterms:W3CDTF">2013-12-23T23:15:00Z</dcterms:modified>
  <cp:category/>
</cp:coreProperties>
</file>