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A31" w:rsidRPr="00AC7CAB" w:rsidRDefault="00640A31" w:rsidP="00640A31">
      <w:pPr>
        <w:widowControl/>
        <w:ind w:leftChars="100" w:left="210"/>
        <w:jc w:val="left"/>
        <w:rPr>
          <w:rFonts w:ascii="宋体" w:hAnsi="宋体" w:cs="宋体"/>
          <w:kern w:val="0"/>
          <w:sz w:val="32"/>
          <w:szCs w:val="32"/>
        </w:rPr>
      </w:pPr>
      <w:r>
        <w:rPr>
          <w:rFonts w:ascii="宋体" w:hAnsi="宋体" w:cs="宋体" w:hint="eastAsia"/>
          <w:kern w:val="0"/>
          <w:sz w:val="32"/>
          <w:szCs w:val="32"/>
        </w:rPr>
        <w:t xml:space="preserve">       </w:t>
      </w:r>
      <w:r w:rsidRPr="00AC7CAB">
        <w:rPr>
          <w:rFonts w:ascii="宋体" w:hAnsi="宋体" w:cs="宋体" w:hint="eastAsia"/>
          <w:kern w:val="0"/>
          <w:sz w:val="32"/>
          <w:szCs w:val="32"/>
        </w:rPr>
        <w:t>2017年8月北京市</w:t>
      </w:r>
      <w:r w:rsidRPr="00AC7CAB">
        <w:rPr>
          <w:rFonts w:ascii="宋体" w:hAnsi="宋体" w:cs="宋体"/>
          <w:kern w:val="0"/>
          <w:sz w:val="32"/>
          <w:szCs w:val="32"/>
        </w:rPr>
        <w:t>制造业采购经理指数回调</w:t>
      </w:r>
    </w:p>
    <w:p w:rsidR="00640A31" w:rsidRPr="00982582" w:rsidRDefault="00640A31" w:rsidP="00640A31">
      <w:pPr>
        <w:widowControl/>
        <w:ind w:leftChars="100" w:left="210"/>
        <w:jc w:val="left"/>
        <w:rPr>
          <w:rFonts w:ascii="宋体" w:hAnsi="宋体" w:cs="宋体"/>
          <w:kern w:val="0"/>
          <w:szCs w:val="21"/>
        </w:rPr>
      </w:pPr>
      <w:r w:rsidRPr="00982582">
        <w:rPr>
          <w:rFonts w:ascii="宋体" w:hAnsi="宋体" w:cs="宋体" w:hint="eastAsia"/>
          <w:kern w:val="0"/>
          <w:szCs w:val="21"/>
        </w:rPr>
        <w:t xml:space="preserve">　　内容提要：2017年8月份，北京制造业采购经理指数（PMI）为49.5%，环比走低0.6个百分点，制造业经济下行压力有所加大；服务业商务活动指数为50.9%，连续2个月回调，服务业经济虽延续温和增长格局，但持续回升动能仍显不足。 </w:t>
      </w:r>
    </w:p>
    <w:p w:rsidR="00640A31" w:rsidRPr="00993DC2" w:rsidRDefault="00640A31" w:rsidP="00640A31">
      <w:pPr>
        <w:widowControl/>
        <w:ind w:leftChars="100" w:left="210"/>
        <w:jc w:val="left"/>
        <w:rPr>
          <w:rFonts w:ascii="华文仿宋" w:eastAsia="华文仿宋" w:hAnsi="华文仿宋" w:cs="宋体"/>
          <w:kern w:val="0"/>
          <w:szCs w:val="21"/>
        </w:rPr>
      </w:pPr>
      <w:r w:rsidRPr="00982582">
        <w:rPr>
          <w:rFonts w:ascii="宋体" w:hAnsi="宋体" w:cs="宋体" w:hint="eastAsia"/>
          <w:kern w:val="0"/>
          <w:szCs w:val="21"/>
        </w:rPr>
        <w:t xml:space="preserve">　　</w:t>
      </w:r>
      <w:r w:rsidRPr="00993DC2">
        <w:rPr>
          <w:rFonts w:ascii="华文仿宋" w:eastAsia="华文仿宋" w:hAnsi="华文仿宋" w:cs="宋体" w:hint="eastAsia"/>
          <w:kern w:val="0"/>
          <w:szCs w:val="21"/>
        </w:rPr>
        <w:t xml:space="preserve">2017年8月份，北京制造业采购经理指数（PMI）回调至临界点以下，制造业总体呈现微幅收缩态势；服务业商务活动指数虽延续稳健扩张状态，但业务活动增速继续放缓。从企业预期看，无论是制造业还是服务业，未来3个月生产经营仍会保持适度扩张，但发展信心均有不同程度减弱。 </w:t>
      </w:r>
    </w:p>
    <w:p w:rsidR="00640A31" w:rsidRDefault="00640A31" w:rsidP="00640A31">
      <w:pPr>
        <w:widowControl/>
        <w:ind w:leftChars="100" w:left="210"/>
        <w:jc w:val="left"/>
        <w:rPr>
          <w:rFonts w:ascii="宋体" w:hAnsi="宋体" w:cs="宋体"/>
          <w:kern w:val="0"/>
          <w:szCs w:val="21"/>
        </w:rPr>
      </w:pPr>
      <w:r w:rsidRPr="00982582">
        <w:rPr>
          <w:rFonts w:ascii="宋体" w:hAnsi="宋体" w:cs="宋体" w:hint="eastAsia"/>
          <w:kern w:val="0"/>
          <w:szCs w:val="21"/>
        </w:rPr>
        <w:t xml:space="preserve">　　一、制造业PMI为49.5%，微幅收缩 </w:t>
      </w:r>
    </w:p>
    <w:p w:rsidR="00640A31" w:rsidRDefault="00640A31" w:rsidP="00640A31">
      <w:pPr>
        <w:widowControl/>
        <w:ind w:leftChars="100" w:left="210" w:firstLine="420"/>
        <w:jc w:val="left"/>
        <w:rPr>
          <w:rFonts w:ascii="宋体" w:hAnsi="宋体" w:cs="宋体"/>
          <w:kern w:val="0"/>
          <w:szCs w:val="21"/>
        </w:rPr>
      </w:pPr>
      <w:r w:rsidRPr="00982582">
        <w:rPr>
          <w:rFonts w:ascii="宋体" w:hAnsi="宋体" w:cs="宋体" w:hint="eastAsia"/>
          <w:kern w:val="0"/>
          <w:szCs w:val="21"/>
        </w:rPr>
        <w:t>8月份，北京制造业PMI为49.5%，较上月回落0.6个百分点，时隔2个月再次回落至荣枯线以下，表明北京市制造业经济景气度有所降低，整体发展呈现微幅收缩迹象。构成制造业PMI[1]的5个分项指数环比“一升四降”，其中，从业人员指数略有回升，生产指数、新订单指数、主要原材料库存指数和供应商配送时间指数均有所回落。数据显示，8月份制造业PMI分别低于1-7月均值和上年同期0.7个和1.1个百分点，且为2012年以来的低点，反映出当前本市经济增长新动力不足和旧动力减弱的结构性矛盾较为突出，特别是在内外需求提振乏力、调整疏解持续推进、部分企业停产限产等因素的综合作用下，制造业企业生产经营活动有所放缓，经济下行压力进一步加大。</w:t>
      </w:r>
      <w:r w:rsidRPr="00D77719">
        <w:rPr>
          <w:rFonts w:ascii="宋体" w:hAnsi="宋体" w:cs="宋体" w:hint="eastAsia"/>
          <w:kern w:val="0"/>
          <w:szCs w:val="21"/>
        </w:rPr>
        <w:t> </w:t>
      </w:r>
    </w:p>
    <w:p w:rsidR="00640A31" w:rsidRDefault="00640A31" w:rsidP="00640A31">
      <w:pPr>
        <w:widowControl/>
        <w:ind w:leftChars="100" w:left="210"/>
        <w:jc w:val="center"/>
        <w:rPr>
          <w:rFonts w:ascii="宋体" w:hAnsi="宋体" w:cs="宋体"/>
          <w:kern w:val="0"/>
          <w:szCs w:val="21"/>
        </w:rPr>
      </w:pPr>
      <w:r>
        <w:rPr>
          <w:rFonts w:ascii="宋体" w:hAnsi="宋体" w:cs="宋体" w:hint="eastAsia"/>
          <w:kern w:val="0"/>
          <w:szCs w:val="21"/>
        </w:rPr>
        <w:t xml:space="preserve">                                     </w:t>
      </w:r>
      <w:r w:rsidRPr="00D77719">
        <w:rPr>
          <w:rFonts w:ascii="宋体" w:hAnsi="宋体" w:cs="宋体" w:hint="eastAsia"/>
          <w:kern w:val="0"/>
          <w:szCs w:val="21"/>
        </w:rPr>
        <w:t>图1　北京制造业PMI走势</w:t>
      </w:r>
      <w:r>
        <w:rPr>
          <w:rFonts w:ascii="宋体" w:hAnsi="宋体" w:cs="宋体" w:hint="eastAsia"/>
          <w:kern w:val="0"/>
          <w:szCs w:val="21"/>
        </w:rPr>
        <w:t xml:space="preserve"> </w:t>
      </w:r>
      <w:r>
        <w:rPr>
          <w:rFonts w:ascii="宋体" w:hAnsi="宋体" w:cs="宋体" w:hint="eastAsia"/>
          <w:kern w:val="0"/>
          <w:szCs w:val="21"/>
        </w:rPr>
        <w:br/>
      </w:r>
    </w:p>
    <w:p w:rsidR="00640A31" w:rsidRPr="00D77719" w:rsidRDefault="00640A31" w:rsidP="00640A31">
      <w:pPr>
        <w:widowControl/>
        <w:ind w:leftChars="100" w:left="210"/>
        <w:jc w:val="center"/>
        <w:rPr>
          <w:rFonts w:ascii="宋体" w:hAnsi="宋体" w:cs="宋体"/>
          <w:kern w:val="0"/>
          <w:szCs w:val="21"/>
        </w:rPr>
      </w:pPr>
      <w:r w:rsidRPr="00D77719">
        <w:rPr>
          <w:rFonts w:ascii="宋体" w:hAnsi="宋体" w:cs="宋体"/>
          <w:kern w:val="0"/>
          <w:szCs w:val="21"/>
        </w:rPr>
        <w:fldChar w:fldCharType="begin"/>
      </w:r>
      <w:r w:rsidRPr="00D77719">
        <w:rPr>
          <w:rFonts w:ascii="宋体" w:hAnsi="宋体" w:cs="宋体"/>
          <w:kern w:val="0"/>
          <w:szCs w:val="21"/>
        </w:rPr>
        <w:instrText xml:space="preserve"> INCLUDEPICTURE "http://10.6.132.108:8080/webpic/W0201509/W020150911/W020150911593776423427.gif" \* MERGEFORMATINET </w:instrText>
      </w:r>
      <w:r w:rsidRPr="00D77719">
        <w:rPr>
          <w:rFonts w:ascii="宋体" w:hAnsi="宋体" w:cs="宋体"/>
          <w:kern w:val="0"/>
          <w:szCs w:val="21"/>
        </w:rPr>
        <w:fldChar w:fldCharType="separate"/>
      </w:r>
      <w:r>
        <w:rPr>
          <w:rFonts w:ascii="宋体" w:hAnsi="宋体" w:cs="宋体"/>
          <w:kern w:val="0"/>
          <w:szCs w:val="21"/>
        </w:rPr>
        <w:fldChar w:fldCharType="begin"/>
      </w:r>
      <w:r>
        <w:rPr>
          <w:rFonts w:ascii="宋体" w:hAnsi="宋体" w:cs="宋体"/>
          <w:kern w:val="0"/>
          <w:szCs w:val="21"/>
        </w:rPr>
        <w:instrText xml:space="preserve"> INCLUDEPICTURE  "http://10.6.132.108:8080/webpic/W0201509/W020150911/W020150911593776423427.gif" \* MERGEFORMATINET </w:instrText>
      </w:r>
      <w:r>
        <w:rPr>
          <w:rFonts w:ascii="宋体" w:hAnsi="宋体" w:cs="宋体"/>
          <w:kern w:val="0"/>
          <w:szCs w:val="21"/>
        </w:rPr>
        <w:fldChar w:fldCharType="separate"/>
      </w:r>
      <w:r>
        <w:rPr>
          <w:rFonts w:ascii="宋体" w:hAnsi="宋体" w:cs="宋体"/>
          <w:kern w:val="0"/>
          <w:szCs w:val="21"/>
        </w:rPr>
        <w:fldChar w:fldCharType="begin"/>
      </w:r>
      <w:r>
        <w:rPr>
          <w:rFonts w:ascii="宋体" w:hAnsi="宋体" w:cs="宋体"/>
          <w:kern w:val="0"/>
          <w:szCs w:val="21"/>
        </w:rPr>
        <w:instrText xml:space="preserve"> INCLUDEPICTURE  "http://10.6.132.108:8080/webpic/W0201509/W020150911/W020150911593776423427.gif" \* MERGEFORMATINET </w:instrText>
      </w:r>
      <w:r>
        <w:rPr>
          <w:rFonts w:ascii="宋体" w:hAnsi="宋体" w:cs="宋体"/>
          <w:kern w:val="0"/>
          <w:szCs w:val="21"/>
        </w:rPr>
        <w:fldChar w:fldCharType="separate"/>
      </w:r>
      <w:r>
        <w:rPr>
          <w:rFonts w:ascii="宋体" w:hAnsi="宋体" w:cs="宋体"/>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139pt">
            <v:imagedata r:id="rId6" r:href="rId7"/>
          </v:shape>
        </w:pict>
      </w:r>
      <w:r>
        <w:rPr>
          <w:rFonts w:ascii="宋体" w:hAnsi="宋体" w:cs="宋体"/>
          <w:kern w:val="0"/>
          <w:szCs w:val="21"/>
        </w:rPr>
        <w:fldChar w:fldCharType="end"/>
      </w:r>
      <w:r>
        <w:rPr>
          <w:rFonts w:ascii="宋体" w:hAnsi="宋体" w:cs="宋体"/>
          <w:kern w:val="0"/>
          <w:szCs w:val="21"/>
        </w:rPr>
        <w:fldChar w:fldCharType="end"/>
      </w:r>
      <w:r w:rsidRPr="00D77719">
        <w:rPr>
          <w:rFonts w:ascii="宋体" w:hAnsi="宋体" w:cs="宋体"/>
          <w:kern w:val="0"/>
          <w:szCs w:val="21"/>
        </w:rPr>
        <w:fldChar w:fldCharType="end"/>
      </w:r>
    </w:p>
    <w:p w:rsidR="00640A31" w:rsidRPr="00D77719" w:rsidRDefault="00640A31" w:rsidP="00640A31">
      <w:pPr>
        <w:widowControl/>
        <w:ind w:leftChars="100" w:left="210"/>
        <w:jc w:val="left"/>
        <w:rPr>
          <w:rFonts w:ascii="宋体" w:hAnsi="宋体" w:cs="宋体"/>
          <w:kern w:val="0"/>
          <w:szCs w:val="21"/>
        </w:rPr>
      </w:pPr>
      <w:r w:rsidRPr="00D77719">
        <w:rPr>
          <w:rFonts w:ascii="宋体" w:hAnsi="宋体" w:cs="宋体" w:hint="eastAsia"/>
          <w:kern w:val="0"/>
          <w:szCs w:val="21"/>
        </w:rPr>
        <w:t>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t xml:space="preserve">　　（一）产出动能有所减弱，配送时间有所放慢 </w:t>
      </w:r>
    </w:p>
    <w:p w:rsidR="00640A31" w:rsidRDefault="00640A31" w:rsidP="00640A31">
      <w:pPr>
        <w:widowControl/>
        <w:ind w:leftChars="100" w:left="210" w:firstLine="420"/>
        <w:jc w:val="left"/>
        <w:rPr>
          <w:rFonts w:ascii="宋体" w:hAnsi="宋体" w:cs="宋体"/>
          <w:kern w:val="0"/>
          <w:szCs w:val="21"/>
        </w:rPr>
      </w:pPr>
      <w:r w:rsidRPr="00E13E53">
        <w:rPr>
          <w:rFonts w:ascii="宋体" w:hAnsi="宋体" w:cs="宋体" w:hint="eastAsia"/>
          <w:kern w:val="0"/>
          <w:szCs w:val="21"/>
        </w:rPr>
        <w:t>调查显示，从调查的13个相关指标看，8月份，生产指数、采购量指数继续位于临界点以上，其他11项分类指数均运行于收缩区。其中，反映市场供给力度的生产指数连续2个月下行，8月份回落2.1个百分点至50.8%，处于今年以来的最低水平（2月份春节除外）。当月企业生产经营活动回落，有一定的短期因素影响。为确保田径世锦赛和纪念抗战胜利70周年纪念活动期间的空气质量，全市对部分工业企业采取停产限产措施，加之部分区县和企业自我加压，主动放假停产，致使当月制造业生产指数回落。调查显示，8月份，判断生产量环比“减少”和“基本持平”的企业占比为85.9%，比上月提升3.9个百分点。此外，当月恰逢制造业传统生产淡季，进行设备检修和技术改造的企业增多，禁限目录出台以来存量调整压力逐步发酵，需求增长低于预期，企业自我定位和市场形势波动仍处于磨合过程，制造业生产出现了一定波动。近几个月工业用电量回落幅度持续加大、工业增加值增势连续放缓表明经济增长动能逐步减弱。从需求端看，新订单指数为49.9%，比上月下降1.1个百分点，时隔17个月后再次回落至临界点以下，反映国内需求增长不够稳定，企业有效订单微幅收缩，经济内生动力仍较为疲弱。从外部需求看，受国际经济及金融市场不确定性增加、大宗商品价格跌势未</w:t>
      </w:r>
      <w:r w:rsidRPr="00E13E53">
        <w:rPr>
          <w:rFonts w:ascii="宋体" w:hAnsi="宋体" w:cs="宋体" w:hint="eastAsia"/>
          <w:kern w:val="0"/>
          <w:szCs w:val="21"/>
        </w:rPr>
        <w:lastRenderedPageBreak/>
        <w:t>变、新兴经济体震荡加剧等因素影响，新出口订单指数大幅回落5.5个百分点至44.1%，为年内的最低值，显示海外需求收缩局面仍在加剧，制造业外贸出口形势依然严峻。从配送情况看，受有关限行政策、临时管制等规定影响，加之部分供应商停产限产，供应商配送时间指数下降幅度也达到1.4个百分点，5个月以来首次回落至荣枯线以下。从价格情况看，由于市场需求回升乏力，近期石油等大宗商品价格波动下滑，加之产能过剩矛盾短期难以缓解，市场价格继续低迷，通缩预期加重。8月份，购进价格指数走低0.9个百分点至45.3%，出厂价格指数也继续徘徊在收缩区，反映多数企业的购进和出厂价格走势仍处于下降或持平状态。</w:t>
      </w:r>
    </w:p>
    <w:p w:rsidR="00640A31" w:rsidRPr="00D77719" w:rsidRDefault="00640A31" w:rsidP="00640A31">
      <w:pPr>
        <w:widowControl/>
        <w:ind w:leftChars="100" w:left="210" w:firstLine="420"/>
        <w:jc w:val="left"/>
        <w:rPr>
          <w:rFonts w:ascii="宋体" w:hAnsi="宋体" w:cs="宋体"/>
          <w:kern w:val="0"/>
          <w:szCs w:val="21"/>
        </w:rPr>
      </w:pPr>
      <w:r w:rsidRPr="00D77719">
        <w:rPr>
          <w:rFonts w:ascii="宋体" w:hAnsi="宋体" w:cs="宋体" w:hint="eastAsia"/>
          <w:kern w:val="0"/>
          <w:szCs w:val="21"/>
        </w:rPr>
        <w:t> </w:t>
      </w:r>
    </w:p>
    <w:p w:rsidR="00640A31" w:rsidRPr="00D77719" w:rsidRDefault="00640A31" w:rsidP="00640A31">
      <w:pPr>
        <w:widowControl/>
        <w:ind w:leftChars="100" w:left="210"/>
        <w:jc w:val="center"/>
        <w:rPr>
          <w:rFonts w:ascii="宋体" w:hAnsi="宋体" w:cs="宋体"/>
          <w:kern w:val="0"/>
          <w:szCs w:val="21"/>
        </w:rPr>
      </w:pPr>
      <w:r>
        <w:rPr>
          <w:rFonts w:ascii="宋体" w:hAnsi="宋体" w:cs="宋体" w:hint="eastAsia"/>
          <w:kern w:val="0"/>
          <w:szCs w:val="21"/>
        </w:rPr>
        <w:t>表1：</w:t>
      </w:r>
      <w:r w:rsidRPr="00D77719">
        <w:rPr>
          <w:rFonts w:ascii="宋体" w:hAnsi="宋体" w:cs="宋体" w:hint="eastAsia"/>
          <w:kern w:val="0"/>
          <w:szCs w:val="21"/>
        </w:rPr>
        <w:t>近2个月北京制造业PMI及分项指数</w:t>
      </w:r>
    </w:p>
    <w:tbl>
      <w:tblPr>
        <w:tblW w:w="4961" w:type="pct"/>
        <w:jc w:val="center"/>
        <w:tblCellMar>
          <w:left w:w="0" w:type="dxa"/>
          <w:right w:w="0" w:type="dxa"/>
        </w:tblCellMar>
        <w:tblLook w:val="04A0" w:firstRow="1" w:lastRow="0" w:firstColumn="1" w:lastColumn="0" w:noHBand="0" w:noVBand="1"/>
      </w:tblPr>
      <w:tblGrid>
        <w:gridCol w:w="2431"/>
        <w:gridCol w:w="2074"/>
        <w:gridCol w:w="2135"/>
        <w:gridCol w:w="2135"/>
      </w:tblGrid>
      <w:tr w:rsidR="00640A31" w:rsidRPr="00D77719" w:rsidTr="00974084">
        <w:trPr>
          <w:trHeight w:val="510"/>
          <w:jc w:val="center"/>
        </w:trPr>
        <w:tc>
          <w:tcPr>
            <w:tcW w:w="243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640A31" w:rsidRPr="00D77719" w:rsidRDefault="00640A31" w:rsidP="00974084">
            <w:pPr>
              <w:widowControl/>
              <w:spacing w:line="330" w:lineRule="atLeast"/>
              <w:jc w:val="left"/>
              <w:rPr>
                <w:rFonts w:ascii="宋体" w:hAnsi="宋体" w:cs="宋体"/>
                <w:kern w:val="0"/>
                <w:sz w:val="24"/>
                <w:szCs w:val="24"/>
              </w:rPr>
            </w:pPr>
            <w:r w:rsidRPr="00D77719">
              <w:rPr>
                <w:rFonts w:ascii="宋体" w:hAnsi="宋体" w:cs="宋体" w:hint="eastAsia"/>
                <w:color w:val="000000"/>
                <w:kern w:val="0"/>
                <w:sz w:val="24"/>
                <w:szCs w:val="24"/>
              </w:rPr>
              <w:t xml:space="preserve">　  分类指数</w:t>
            </w:r>
          </w:p>
        </w:tc>
        <w:tc>
          <w:tcPr>
            <w:tcW w:w="2074" w:type="dxa"/>
            <w:tcBorders>
              <w:top w:val="single" w:sz="8" w:space="0" w:color="000000"/>
              <w:left w:val="nil"/>
              <w:bottom w:val="single" w:sz="8" w:space="0" w:color="000000"/>
              <w:right w:val="single" w:sz="8" w:space="0" w:color="000000"/>
            </w:tcBorders>
            <w:vAlign w:val="center"/>
            <w:hideMark/>
          </w:tcPr>
          <w:p w:rsidR="00640A31" w:rsidRPr="00D77719" w:rsidRDefault="00640A31" w:rsidP="00974084">
            <w:pPr>
              <w:widowControl/>
              <w:spacing w:line="330" w:lineRule="atLeast"/>
              <w:jc w:val="center"/>
              <w:rPr>
                <w:rFonts w:ascii="宋体" w:hAnsi="宋体" w:cs="宋体"/>
                <w:kern w:val="0"/>
                <w:sz w:val="24"/>
                <w:szCs w:val="24"/>
              </w:rPr>
            </w:pPr>
            <w:r>
              <w:rPr>
                <w:rFonts w:ascii="宋体" w:hAnsi="宋体" w:cs="宋体" w:hint="eastAsia"/>
                <w:color w:val="000000"/>
                <w:kern w:val="0"/>
                <w:sz w:val="24"/>
                <w:szCs w:val="24"/>
              </w:rPr>
              <w:t>2017</w:t>
            </w:r>
            <w:r w:rsidRPr="00D77719">
              <w:rPr>
                <w:rFonts w:ascii="宋体" w:hAnsi="宋体" w:cs="宋体" w:hint="eastAsia"/>
                <w:color w:val="000000"/>
                <w:kern w:val="0"/>
                <w:sz w:val="24"/>
                <w:szCs w:val="24"/>
              </w:rPr>
              <w:t xml:space="preserve">年7月份 </w:t>
            </w:r>
          </w:p>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w:t>
            </w:r>
          </w:p>
        </w:tc>
        <w:tc>
          <w:tcPr>
            <w:tcW w:w="2135" w:type="dxa"/>
            <w:tcBorders>
              <w:top w:val="single" w:sz="8" w:space="0" w:color="000000"/>
              <w:left w:val="nil"/>
              <w:bottom w:val="single" w:sz="8" w:space="0" w:color="000000"/>
              <w:right w:val="single" w:sz="8" w:space="0" w:color="auto"/>
            </w:tcBorders>
            <w:vAlign w:val="center"/>
            <w:hideMark/>
          </w:tcPr>
          <w:p w:rsidR="00640A31" w:rsidRPr="00D77719" w:rsidRDefault="00640A31" w:rsidP="00974084">
            <w:pPr>
              <w:widowControl/>
              <w:spacing w:line="330" w:lineRule="atLeast"/>
              <w:jc w:val="center"/>
              <w:rPr>
                <w:rFonts w:ascii="宋体" w:hAnsi="宋体" w:cs="宋体"/>
                <w:kern w:val="0"/>
                <w:sz w:val="24"/>
                <w:szCs w:val="24"/>
              </w:rPr>
            </w:pPr>
            <w:r>
              <w:rPr>
                <w:rFonts w:ascii="宋体" w:hAnsi="宋体" w:cs="宋体" w:hint="eastAsia"/>
                <w:color w:val="000000"/>
                <w:kern w:val="0"/>
                <w:sz w:val="24"/>
                <w:szCs w:val="24"/>
              </w:rPr>
              <w:t>2017</w:t>
            </w:r>
            <w:r w:rsidRPr="00D77719">
              <w:rPr>
                <w:rFonts w:ascii="宋体" w:hAnsi="宋体" w:cs="宋体" w:hint="eastAsia"/>
                <w:color w:val="000000"/>
                <w:kern w:val="0"/>
                <w:sz w:val="24"/>
                <w:szCs w:val="24"/>
              </w:rPr>
              <w:t xml:space="preserve">年8月份 </w:t>
            </w:r>
          </w:p>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w:t>
            </w:r>
          </w:p>
        </w:tc>
        <w:tc>
          <w:tcPr>
            <w:tcW w:w="2135" w:type="dxa"/>
            <w:tcBorders>
              <w:top w:val="single" w:sz="8" w:space="0" w:color="000000"/>
              <w:left w:val="nil"/>
              <w:bottom w:val="single" w:sz="8" w:space="0" w:color="000000"/>
              <w:right w:val="nil"/>
            </w:tcBorders>
            <w:tcMar>
              <w:top w:w="0" w:type="dxa"/>
              <w:left w:w="108" w:type="dxa"/>
              <w:bottom w:w="0" w:type="dxa"/>
              <w:right w:w="108" w:type="dxa"/>
            </w:tcMar>
            <w:vAlign w:val="center"/>
            <w:hideMark/>
          </w:tcPr>
          <w:p w:rsidR="00640A31" w:rsidRPr="00D77719" w:rsidRDefault="00640A31" w:rsidP="00974084">
            <w:pPr>
              <w:widowControl/>
              <w:spacing w:line="330" w:lineRule="atLeast"/>
              <w:rPr>
                <w:rFonts w:ascii="宋体" w:hAnsi="宋体" w:cs="宋体"/>
                <w:kern w:val="0"/>
                <w:sz w:val="24"/>
                <w:szCs w:val="24"/>
              </w:rPr>
            </w:pPr>
            <w:r w:rsidRPr="00D77719">
              <w:rPr>
                <w:rFonts w:ascii="宋体" w:hAnsi="宋体" w:cs="宋体" w:hint="eastAsia"/>
                <w:color w:val="000000"/>
                <w:kern w:val="0"/>
                <w:sz w:val="24"/>
                <w:szCs w:val="24"/>
              </w:rPr>
              <w:t xml:space="preserve">环比增减     </w:t>
            </w:r>
          </w:p>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（±百分点）</w:t>
            </w:r>
          </w:p>
        </w:tc>
      </w:tr>
      <w:tr w:rsidR="00640A31" w:rsidRPr="00D77719" w:rsidTr="00974084">
        <w:trPr>
          <w:trHeight w:val="534"/>
          <w:jc w:val="center"/>
        </w:trPr>
        <w:tc>
          <w:tcPr>
            <w:tcW w:w="2431"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640A31" w:rsidRPr="00D77719" w:rsidRDefault="00640A31" w:rsidP="00974084">
            <w:pPr>
              <w:widowControl/>
              <w:spacing w:line="330" w:lineRule="atLeast"/>
              <w:jc w:val="left"/>
              <w:rPr>
                <w:rFonts w:ascii="宋体" w:hAnsi="宋体" w:cs="宋体"/>
                <w:kern w:val="0"/>
                <w:sz w:val="24"/>
                <w:szCs w:val="24"/>
              </w:rPr>
            </w:pPr>
            <w:r w:rsidRPr="00D77719">
              <w:rPr>
                <w:rFonts w:ascii="宋体" w:hAnsi="宋体" w:cs="宋体" w:hint="eastAsia"/>
                <w:color w:val="000000"/>
                <w:kern w:val="0"/>
                <w:sz w:val="24"/>
                <w:szCs w:val="24"/>
              </w:rPr>
              <w:t>PMI</w:t>
            </w:r>
          </w:p>
        </w:tc>
        <w:tc>
          <w:tcPr>
            <w:tcW w:w="2074" w:type="dxa"/>
            <w:tcBorders>
              <w:top w:val="nil"/>
              <w:left w:val="nil"/>
              <w:bottom w:val="single" w:sz="8" w:space="0" w:color="000000"/>
              <w:right w:val="single" w:sz="8" w:space="0" w:color="000000"/>
            </w:tcBorders>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50.1</w:t>
            </w:r>
          </w:p>
        </w:tc>
        <w:tc>
          <w:tcPr>
            <w:tcW w:w="2135" w:type="dxa"/>
            <w:tcBorders>
              <w:top w:val="nil"/>
              <w:left w:val="nil"/>
              <w:bottom w:val="single" w:sz="8" w:space="0" w:color="000000"/>
              <w:right w:val="single" w:sz="8" w:space="0" w:color="auto"/>
            </w:tcBorders>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49.5</w:t>
            </w:r>
          </w:p>
        </w:tc>
        <w:tc>
          <w:tcPr>
            <w:tcW w:w="2135" w:type="dxa"/>
            <w:tcBorders>
              <w:top w:val="nil"/>
              <w:left w:val="nil"/>
              <w:bottom w:val="single" w:sz="8" w:space="0" w:color="000000"/>
              <w:right w:val="nil"/>
            </w:tcBorders>
            <w:tcMar>
              <w:top w:w="0" w:type="dxa"/>
              <w:left w:w="108" w:type="dxa"/>
              <w:bottom w:w="0" w:type="dxa"/>
              <w:right w:w="108" w:type="dxa"/>
            </w:tcMar>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-0.6</w:t>
            </w:r>
          </w:p>
        </w:tc>
      </w:tr>
      <w:tr w:rsidR="00640A31" w:rsidRPr="00D77719" w:rsidTr="00974084">
        <w:trPr>
          <w:trHeight w:val="300"/>
          <w:jc w:val="center"/>
        </w:trPr>
        <w:tc>
          <w:tcPr>
            <w:tcW w:w="2431"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640A31" w:rsidRPr="00D77719" w:rsidRDefault="00640A31" w:rsidP="00974084">
            <w:pPr>
              <w:widowControl/>
              <w:spacing w:line="330" w:lineRule="atLeast"/>
              <w:jc w:val="left"/>
              <w:rPr>
                <w:rFonts w:ascii="宋体" w:hAnsi="宋体" w:cs="宋体"/>
                <w:kern w:val="0"/>
                <w:sz w:val="24"/>
                <w:szCs w:val="24"/>
              </w:rPr>
            </w:pPr>
            <w:r w:rsidRPr="00D77719">
              <w:rPr>
                <w:rFonts w:ascii="宋体" w:hAnsi="宋体" w:cs="宋体" w:hint="eastAsia"/>
                <w:color w:val="000000"/>
                <w:kern w:val="0"/>
                <w:sz w:val="24"/>
                <w:szCs w:val="24"/>
              </w:rPr>
              <w:t>生产</w:t>
            </w:r>
          </w:p>
        </w:tc>
        <w:tc>
          <w:tcPr>
            <w:tcW w:w="2074" w:type="dxa"/>
            <w:tcBorders>
              <w:top w:val="nil"/>
              <w:left w:val="nil"/>
              <w:bottom w:val="single" w:sz="8" w:space="0" w:color="000000"/>
              <w:right w:val="single" w:sz="8" w:space="0" w:color="000000"/>
            </w:tcBorders>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52.9</w:t>
            </w:r>
          </w:p>
        </w:tc>
        <w:tc>
          <w:tcPr>
            <w:tcW w:w="2135" w:type="dxa"/>
            <w:tcBorders>
              <w:top w:val="nil"/>
              <w:left w:val="nil"/>
              <w:bottom w:val="single" w:sz="8" w:space="0" w:color="000000"/>
              <w:right w:val="single" w:sz="8" w:space="0" w:color="auto"/>
            </w:tcBorders>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50.8</w:t>
            </w:r>
          </w:p>
        </w:tc>
        <w:tc>
          <w:tcPr>
            <w:tcW w:w="2135" w:type="dxa"/>
            <w:tcBorders>
              <w:top w:val="nil"/>
              <w:left w:val="nil"/>
              <w:bottom w:val="single" w:sz="8" w:space="0" w:color="000000"/>
              <w:right w:val="nil"/>
            </w:tcBorders>
            <w:tcMar>
              <w:top w:w="0" w:type="dxa"/>
              <w:left w:w="108" w:type="dxa"/>
              <w:bottom w:w="0" w:type="dxa"/>
              <w:right w:w="108" w:type="dxa"/>
            </w:tcMar>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-2.1</w:t>
            </w:r>
          </w:p>
        </w:tc>
      </w:tr>
      <w:tr w:rsidR="00640A31" w:rsidRPr="00D77719" w:rsidTr="00974084">
        <w:trPr>
          <w:trHeight w:val="300"/>
          <w:jc w:val="center"/>
        </w:trPr>
        <w:tc>
          <w:tcPr>
            <w:tcW w:w="2431"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640A31" w:rsidRPr="00D77719" w:rsidRDefault="00640A31" w:rsidP="00974084">
            <w:pPr>
              <w:widowControl/>
              <w:spacing w:line="330" w:lineRule="atLeast"/>
              <w:jc w:val="left"/>
              <w:rPr>
                <w:rFonts w:ascii="宋体" w:hAnsi="宋体" w:cs="宋体"/>
                <w:kern w:val="0"/>
                <w:sz w:val="24"/>
                <w:szCs w:val="24"/>
              </w:rPr>
            </w:pPr>
            <w:r w:rsidRPr="00D77719">
              <w:rPr>
                <w:rFonts w:ascii="宋体" w:hAnsi="宋体" w:cs="宋体" w:hint="eastAsia"/>
                <w:color w:val="000000"/>
                <w:kern w:val="0"/>
                <w:sz w:val="24"/>
                <w:szCs w:val="24"/>
              </w:rPr>
              <w:t>新订单</w:t>
            </w:r>
          </w:p>
        </w:tc>
        <w:tc>
          <w:tcPr>
            <w:tcW w:w="2074" w:type="dxa"/>
            <w:tcBorders>
              <w:top w:val="nil"/>
              <w:left w:val="nil"/>
              <w:bottom w:val="single" w:sz="8" w:space="0" w:color="000000"/>
              <w:right w:val="single" w:sz="8" w:space="0" w:color="000000"/>
            </w:tcBorders>
            <w:vAlign w:val="bottom"/>
            <w:hideMark/>
          </w:tcPr>
          <w:p w:rsidR="00640A31" w:rsidRPr="00D77719" w:rsidRDefault="00640A31" w:rsidP="00974084">
            <w:pPr>
              <w:widowControl/>
              <w:spacing w:line="330" w:lineRule="atLeast"/>
              <w:jc w:val="left"/>
              <w:rPr>
                <w:rFonts w:ascii="宋体" w:hAnsi="宋体" w:cs="宋体"/>
                <w:kern w:val="0"/>
                <w:sz w:val="24"/>
                <w:szCs w:val="24"/>
              </w:rPr>
            </w:pPr>
            <w:r w:rsidRPr="00D77719">
              <w:rPr>
                <w:rFonts w:ascii="宋体" w:hAnsi="宋体" w:cs="宋体" w:hint="eastAsia"/>
                <w:color w:val="000000"/>
                <w:kern w:val="0"/>
                <w:sz w:val="24"/>
                <w:szCs w:val="24"/>
              </w:rPr>
              <w:t>51.0</w:t>
            </w:r>
          </w:p>
        </w:tc>
        <w:tc>
          <w:tcPr>
            <w:tcW w:w="2135" w:type="dxa"/>
            <w:tcBorders>
              <w:top w:val="nil"/>
              <w:left w:val="nil"/>
              <w:bottom w:val="single" w:sz="8" w:space="0" w:color="000000"/>
              <w:right w:val="single" w:sz="8" w:space="0" w:color="auto"/>
            </w:tcBorders>
            <w:vAlign w:val="bottom"/>
            <w:hideMark/>
          </w:tcPr>
          <w:p w:rsidR="00640A31" w:rsidRPr="00D77719" w:rsidRDefault="00640A31" w:rsidP="00974084">
            <w:pPr>
              <w:widowControl/>
              <w:spacing w:line="330" w:lineRule="atLeast"/>
              <w:jc w:val="left"/>
              <w:rPr>
                <w:rFonts w:ascii="宋体" w:hAnsi="宋体" w:cs="宋体"/>
                <w:kern w:val="0"/>
                <w:sz w:val="24"/>
                <w:szCs w:val="24"/>
              </w:rPr>
            </w:pPr>
            <w:r w:rsidRPr="00D77719">
              <w:rPr>
                <w:rFonts w:ascii="宋体" w:hAnsi="宋体" w:cs="宋体" w:hint="eastAsia"/>
                <w:color w:val="000000"/>
                <w:kern w:val="0"/>
                <w:sz w:val="24"/>
                <w:szCs w:val="24"/>
              </w:rPr>
              <w:t>49.9</w:t>
            </w:r>
          </w:p>
        </w:tc>
        <w:tc>
          <w:tcPr>
            <w:tcW w:w="2135" w:type="dxa"/>
            <w:tcBorders>
              <w:top w:val="nil"/>
              <w:left w:val="nil"/>
              <w:bottom w:val="single" w:sz="8" w:space="0" w:color="000000"/>
              <w:right w:val="nil"/>
            </w:tcBorders>
            <w:tcMar>
              <w:top w:w="0" w:type="dxa"/>
              <w:left w:w="108" w:type="dxa"/>
              <w:bottom w:w="0" w:type="dxa"/>
              <w:right w:w="108" w:type="dxa"/>
            </w:tcMar>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-1.1</w:t>
            </w:r>
          </w:p>
        </w:tc>
      </w:tr>
      <w:tr w:rsidR="00640A31" w:rsidRPr="00D77719" w:rsidTr="00974084">
        <w:trPr>
          <w:trHeight w:val="300"/>
          <w:jc w:val="center"/>
        </w:trPr>
        <w:tc>
          <w:tcPr>
            <w:tcW w:w="2431"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640A31" w:rsidRPr="00D77719" w:rsidRDefault="00640A31" w:rsidP="00974084">
            <w:pPr>
              <w:widowControl/>
              <w:spacing w:line="330" w:lineRule="atLeast"/>
              <w:jc w:val="left"/>
              <w:rPr>
                <w:rFonts w:ascii="宋体" w:hAnsi="宋体" w:cs="宋体"/>
                <w:kern w:val="0"/>
                <w:sz w:val="24"/>
                <w:szCs w:val="24"/>
              </w:rPr>
            </w:pPr>
            <w:r w:rsidRPr="00D77719">
              <w:rPr>
                <w:rFonts w:ascii="宋体" w:hAnsi="宋体" w:cs="宋体" w:hint="eastAsia"/>
                <w:color w:val="000000"/>
                <w:kern w:val="0"/>
                <w:sz w:val="24"/>
                <w:szCs w:val="24"/>
              </w:rPr>
              <w:t>主要原材料库存</w:t>
            </w:r>
          </w:p>
        </w:tc>
        <w:tc>
          <w:tcPr>
            <w:tcW w:w="2074" w:type="dxa"/>
            <w:tcBorders>
              <w:top w:val="nil"/>
              <w:left w:val="nil"/>
              <w:bottom w:val="single" w:sz="8" w:space="0" w:color="000000"/>
              <w:right w:val="single" w:sz="8" w:space="0" w:color="000000"/>
            </w:tcBorders>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48.6</w:t>
            </w:r>
          </w:p>
        </w:tc>
        <w:tc>
          <w:tcPr>
            <w:tcW w:w="2135" w:type="dxa"/>
            <w:tcBorders>
              <w:top w:val="nil"/>
              <w:left w:val="nil"/>
              <w:bottom w:val="single" w:sz="8" w:space="0" w:color="000000"/>
              <w:right w:val="single" w:sz="8" w:space="0" w:color="auto"/>
            </w:tcBorders>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48.4</w:t>
            </w:r>
          </w:p>
        </w:tc>
        <w:tc>
          <w:tcPr>
            <w:tcW w:w="2135" w:type="dxa"/>
            <w:tcBorders>
              <w:top w:val="nil"/>
              <w:left w:val="nil"/>
              <w:bottom w:val="single" w:sz="8" w:space="0" w:color="000000"/>
              <w:right w:val="nil"/>
            </w:tcBorders>
            <w:tcMar>
              <w:top w:w="0" w:type="dxa"/>
              <w:left w:w="108" w:type="dxa"/>
              <w:bottom w:w="0" w:type="dxa"/>
              <w:right w:w="108" w:type="dxa"/>
            </w:tcMar>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-0.2</w:t>
            </w:r>
          </w:p>
        </w:tc>
      </w:tr>
      <w:tr w:rsidR="00640A31" w:rsidRPr="00D77719" w:rsidTr="00974084">
        <w:trPr>
          <w:trHeight w:val="70"/>
          <w:jc w:val="center"/>
        </w:trPr>
        <w:tc>
          <w:tcPr>
            <w:tcW w:w="2431"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640A31" w:rsidRPr="00D77719" w:rsidRDefault="00640A31" w:rsidP="00974084">
            <w:pPr>
              <w:widowControl/>
              <w:spacing w:line="70" w:lineRule="atLeast"/>
              <w:jc w:val="left"/>
              <w:rPr>
                <w:rFonts w:ascii="宋体" w:hAnsi="宋体" w:cs="宋体"/>
                <w:kern w:val="0"/>
                <w:sz w:val="24"/>
                <w:szCs w:val="24"/>
              </w:rPr>
            </w:pPr>
            <w:r w:rsidRPr="00D77719">
              <w:rPr>
                <w:rFonts w:ascii="宋体" w:hAnsi="宋体" w:cs="宋体" w:hint="eastAsia"/>
                <w:color w:val="000000"/>
                <w:kern w:val="0"/>
                <w:sz w:val="24"/>
                <w:szCs w:val="24"/>
              </w:rPr>
              <w:t>从业人员</w:t>
            </w:r>
          </w:p>
        </w:tc>
        <w:tc>
          <w:tcPr>
            <w:tcW w:w="2074" w:type="dxa"/>
            <w:tcBorders>
              <w:top w:val="nil"/>
              <w:left w:val="nil"/>
              <w:bottom w:val="single" w:sz="8" w:space="0" w:color="000000"/>
              <w:right w:val="single" w:sz="8" w:space="0" w:color="000000"/>
            </w:tcBorders>
            <w:vAlign w:val="bottom"/>
            <w:hideMark/>
          </w:tcPr>
          <w:p w:rsidR="00640A31" w:rsidRPr="00D77719" w:rsidRDefault="00640A31" w:rsidP="00974084">
            <w:pPr>
              <w:widowControl/>
              <w:spacing w:line="70" w:lineRule="atLeast"/>
              <w:jc w:val="center"/>
              <w:rPr>
                <w:rFonts w:ascii="宋体" w:hAnsi="宋体" w:cs="宋体"/>
                <w:kern w:val="0"/>
                <w:sz w:val="24"/>
                <w:szCs w:val="24"/>
              </w:rPr>
            </w:pPr>
            <w:r w:rsidRPr="00D77719">
              <w:rPr>
                <w:rFonts w:ascii="宋体" w:hAnsi="宋体" w:cs="宋体" w:hint="eastAsia"/>
                <w:color w:val="000000"/>
                <w:kern w:val="0"/>
                <w:sz w:val="24"/>
                <w:szCs w:val="24"/>
              </w:rPr>
              <w:t>45.6</w:t>
            </w:r>
          </w:p>
        </w:tc>
        <w:tc>
          <w:tcPr>
            <w:tcW w:w="2135" w:type="dxa"/>
            <w:tcBorders>
              <w:top w:val="nil"/>
              <w:left w:val="nil"/>
              <w:bottom w:val="single" w:sz="8" w:space="0" w:color="000000"/>
              <w:right w:val="single" w:sz="8" w:space="0" w:color="auto"/>
            </w:tcBorders>
            <w:vAlign w:val="bottom"/>
            <w:hideMark/>
          </w:tcPr>
          <w:p w:rsidR="00640A31" w:rsidRPr="00D77719" w:rsidRDefault="00640A31" w:rsidP="00974084">
            <w:pPr>
              <w:widowControl/>
              <w:spacing w:line="70" w:lineRule="atLeast"/>
              <w:jc w:val="right"/>
              <w:rPr>
                <w:rFonts w:ascii="宋体" w:hAnsi="宋体" w:cs="宋体"/>
                <w:kern w:val="0"/>
                <w:sz w:val="24"/>
                <w:szCs w:val="24"/>
              </w:rPr>
            </w:pPr>
            <w:r w:rsidRPr="00D77719">
              <w:rPr>
                <w:rFonts w:ascii="宋体" w:hAnsi="宋体" w:cs="宋体" w:hint="eastAsia"/>
                <w:color w:val="000000"/>
                <w:kern w:val="0"/>
                <w:sz w:val="24"/>
                <w:szCs w:val="24"/>
              </w:rPr>
              <w:t>46.4</w:t>
            </w:r>
          </w:p>
        </w:tc>
        <w:tc>
          <w:tcPr>
            <w:tcW w:w="2135" w:type="dxa"/>
            <w:tcBorders>
              <w:top w:val="nil"/>
              <w:left w:val="nil"/>
              <w:bottom w:val="single" w:sz="8" w:space="0" w:color="000000"/>
              <w:right w:val="nil"/>
            </w:tcBorders>
            <w:tcMar>
              <w:top w:w="0" w:type="dxa"/>
              <w:left w:w="108" w:type="dxa"/>
              <w:bottom w:w="0" w:type="dxa"/>
              <w:right w:w="108" w:type="dxa"/>
            </w:tcMar>
            <w:vAlign w:val="bottom"/>
            <w:hideMark/>
          </w:tcPr>
          <w:p w:rsidR="00640A31" w:rsidRPr="00D77719" w:rsidRDefault="00640A31" w:rsidP="00974084">
            <w:pPr>
              <w:widowControl/>
              <w:spacing w:line="70" w:lineRule="atLeast"/>
              <w:jc w:val="right"/>
              <w:rPr>
                <w:rFonts w:ascii="宋体" w:hAnsi="宋体" w:cs="宋体"/>
                <w:kern w:val="0"/>
                <w:sz w:val="24"/>
                <w:szCs w:val="24"/>
              </w:rPr>
            </w:pPr>
            <w:r w:rsidRPr="00D77719">
              <w:rPr>
                <w:rFonts w:ascii="宋体" w:hAnsi="宋体" w:cs="宋体" w:hint="eastAsia"/>
                <w:color w:val="000000"/>
                <w:kern w:val="0"/>
                <w:sz w:val="24"/>
                <w:szCs w:val="24"/>
              </w:rPr>
              <w:t>0.8</w:t>
            </w:r>
          </w:p>
        </w:tc>
      </w:tr>
      <w:tr w:rsidR="00640A31" w:rsidRPr="00D77719" w:rsidTr="00974084">
        <w:trPr>
          <w:trHeight w:val="300"/>
          <w:jc w:val="center"/>
        </w:trPr>
        <w:tc>
          <w:tcPr>
            <w:tcW w:w="2431"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640A31" w:rsidRPr="00D77719" w:rsidRDefault="00640A31" w:rsidP="00974084">
            <w:pPr>
              <w:widowControl/>
              <w:spacing w:line="330" w:lineRule="atLeast"/>
              <w:jc w:val="left"/>
              <w:rPr>
                <w:rFonts w:ascii="宋体" w:hAnsi="宋体" w:cs="宋体"/>
                <w:kern w:val="0"/>
                <w:sz w:val="24"/>
                <w:szCs w:val="24"/>
              </w:rPr>
            </w:pPr>
            <w:r w:rsidRPr="00D77719">
              <w:rPr>
                <w:rFonts w:ascii="宋体" w:hAnsi="宋体" w:cs="宋体" w:hint="eastAsia"/>
                <w:color w:val="000000"/>
                <w:kern w:val="0"/>
                <w:sz w:val="24"/>
                <w:szCs w:val="24"/>
              </w:rPr>
              <w:t>供应商配送时间</w:t>
            </w:r>
          </w:p>
        </w:tc>
        <w:tc>
          <w:tcPr>
            <w:tcW w:w="2074" w:type="dxa"/>
            <w:tcBorders>
              <w:top w:val="nil"/>
              <w:left w:val="nil"/>
              <w:bottom w:val="single" w:sz="8" w:space="0" w:color="000000"/>
              <w:right w:val="single" w:sz="8" w:space="0" w:color="000000"/>
            </w:tcBorders>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50.3</w:t>
            </w:r>
          </w:p>
        </w:tc>
        <w:tc>
          <w:tcPr>
            <w:tcW w:w="2135" w:type="dxa"/>
            <w:tcBorders>
              <w:top w:val="nil"/>
              <w:left w:val="nil"/>
              <w:bottom w:val="single" w:sz="8" w:space="0" w:color="000000"/>
              <w:right w:val="single" w:sz="8" w:space="0" w:color="auto"/>
            </w:tcBorders>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48.9</w:t>
            </w:r>
          </w:p>
        </w:tc>
        <w:tc>
          <w:tcPr>
            <w:tcW w:w="2135" w:type="dxa"/>
            <w:tcBorders>
              <w:top w:val="nil"/>
              <w:left w:val="nil"/>
              <w:bottom w:val="single" w:sz="8" w:space="0" w:color="000000"/>
              <w:right w:val="nil"/>
            </w:tcBorders>
            <w:tcMar>
              <w:top w:w="0" w:type="dxa"/>
              <w:left w:w="108" w:type="dxa"/>
              <w:bottom w:w="0" w:type="dxa"/>
              <w:right w:w="108" w:type="dxa"/>
            </w:tcMar>
            <w:vAlign w:val="bottom"/>
            <w:hideMark/>
          </w:tcPr>
          <w:p w:rsidR="00640A31" w:rsidRPr="00D77719" w:rsidRDefault="00640A31" w:rsidP="00974084">
            <w:pPr>
              <w:widowControl/>
              <w:spacing w:line="330" w:lineRule="atLeast"/>
              <w:jc w:val="center"/>
              <w:rPr>
                <w:rFonts w:ascii="宋体" w:hAnsi="宋体" w:cs="宋体"/>
                <w:kern w:val="0"/>
                <w:sz w:val="24"/>
                <w:szCs w:val="24"/>
              </w:rPr>
            </w:pPr>
            <w:r w:rsidRPr="00D77719">
              <w:rPr>
                <w:rFonts w:ascii="宋体" w:hAnsi="宋体" w:cs="宋体" w:hint="eastAsia"/>
                <w:color w:val="000000"/>
                <w:kern w:val="0"/>
                <w:sz w:val="24"/>
                <w:szCs w:val="24"/>
              </w:rPr>
              <w:t>-1.4</w:t>
            </w:r>
          </w:p>
        </w:tc>
      </w:tr>
    </w:tbl>
    <w:p w:rsidR="00640A31" w:rsidRPr="00D77719" w:rsidRDefault="00640A31" w:rsidP="00640A31">
      <w:pPr>
        <w:widowControl/>
        <w:ind w:leftChars="100" w:left="210"/>
        <w:jc w:val="left"/>
        <w:rPr>
          <w:rFonts w:ascii="宋体" w:hAnsi="宋体" w:cs="宋体"/>
          <w:kern w:val="0"/>
          <w:szCs w:val="21"/>
        </w:rPr>
      </w:pPr>
      <w:r w:rsidRPr="00D77719">
        <w:rPr>
          <w:rFonts w:ascii="宋体" w:hAnsi="宋体" w:cs="宋体" w:hint="eastAsia"/>
          <w:kern w:val="0"/>
          <w:szCs w:val="21"/>
        </w:rPr>
        <w:t> </w:t>
      </w:r>
    </w:p>
    <w:p w:rsidR="00640A31" w:rsidRDefault="00640A31" w:rsidP="00640A31">
      <w:pPr>
        <w:widowControl/>
        <w:ind w:leftChars="100" w:left="210" w:firstLine="420"/>
        <w:jc w:val="left"/>
        <w:rPr>
          <w:rFonts w:ascii="宋体" w:hAnsi="宋体" w:cs="宋体"/>
          <w:kern w:val="0"/>
          <w:szCs w:val="21"/>
        </w:rPr>
      </w:pPr>
      <w:r w:rsidRPr="00D77719">
        <w:rPr>
          <w:rFonts w:ascii="宋体" w:hAnsi="宋体" w:cs="宋体" w:hint="eastAsia"/>
          <w:kern w:val="0"/>
          <w:szCs w:val="21"/>
        </w:rPr>
        <w:t xml:space="preserve">（二）新兴产业保持较快增长，禁限产业持续收缩 </w:t>
      </w:r>
      <w:r w:rsidRPr="00D77719">
        <w:rPr>
          <w:rFonts w:ascii="宋体" w:hAnsi="宋体" w:cs="宋体" w:hint="eastAsia"/>
          <w:kern w:val="0"/>
          <w:szCs w:val="21"/>
        </w:rPr>
        <w:br/>
      </w:r>
      <w:r w:rsidRPr="00D77719">
        <w:rPr>
          <w:rFonts w:ascii="宋体" w:hAnsi="宋体" w:cs="宋体" w:hint="eastAsia"/>
          <w:kern w:val="0"/>
          <w:szCs w:val="21"/>
        </w:rPr>
        <w:br/>
        <w:t xml:space="preserve">　　尽管8月份制造业PMI出现一定程度回落，但一些积极因素也继续显现。一是新兴产业产销继续保持稳定增长，战略性新兴产业、现代制造业的新订单指数和生产指数均位于52%以上的较快扩张区间，高于制造业总体水平2-2.6个百分点。二是消费品相关行业动能增强，其PMI比上月提升幅度超过6个百分点，达到54.8%，高于制造业总体水平5.3个百分点，年内长期位于临界点上方。三是部分传统产业调整疏解力度加大，如禁限目录涉及企业PMI连续2个月回调，当月指数下探至47.3%，收缩幅度进一步加大。此外，受环保约束影响较大的石油加工炼焦及核燃料加工业、黑色金属冶炼及压延加工业等行业生产低迷，其行业PMI均跌至临界点以下，且环比降幅较大。 </w:t>
      </w:r>
    </w:p>
    <w:p w:rsidR="00640A31" w:rsidRPr="00C4705B" w:rsidRDefault="00640A31" w:rsidP="00640A31">
      <w:pPr>
        <w:widowControl/>
        <w:wordWrap w:val="0"/>
        <w:spacing w:line="600" w:lineRule="atLeast"/>
        <w:ind w:leftChars="100" w:left="210"/>
        <w:jc w:val="center"/>
        <w:rPr>
          <w:rFonts w:ascii="宋体" w:hAnsi="宋体" w:cs="宋体"/>
          <w:kern w:val="0"/>
          <w:sz w:val="24"/>
          <w:szCs w:val="24"/>
        </w:rPr>
      </w:pPr>
      <w:r w:rsidRPr="00C4705B">
        <w:rPr>
          <w:rFonts w:ascii="方正小标宋_GBK" w:eastAsia="方正小标宋_GBK" w:hAnsi="宋体" w:cs="宋体" w:hint="eastAsia"/>
          <w:kern w:val="0"/>
          <w:sz w:val="28"/>
          <w:szCs w:val="28"/>
        </w:rPr>
        <w:t>表</w:t>
      </w:r>
      <w:r>
        <w:rPr>
          <w:rFonts w:ascii="方正小标宋_GBK" w:eastAsia="方正小标宋_GBK" w:hAnsi="宋体" w:cs="宋体" w:hint="eastAsia"/>
          <w:kern w:val="0"/>
          <w:sz w:val="28"/>
          <w:szCs w:val="28"/>
        </w:rPr>
        <w:t>2</w:t>
      </w:r>
      <w:r w:rsidRPr="00C4705B">
        <w:rPr>
          <w:rFonts w:ascii="方正小标宋_GBK" w:eastAsia="方正小标宋_GBK" w:hAnsi="宋体" w:cs="宋体" w:hint="eastAsia"/>
          <w:kern w:val="0"/>
          <w:sz w:val="28"/>
          <w:szCs w:val="28"/>
        </w:rPr>
        <w:t>：主城区与京津沪商业地产供给基于城镇人口的五年平均弹性</w:t>
      </w:r>
    </w:p>
    <w:p w:rsidR="00640A31" w:rsidRPr="00467FE8" w:rsidRDefault="00640A31" w:rsidP="00640A31">
      <w:pPr>
        <w:widowControl/>
        <w:spacing w:line="600" w:lineRule="atLeast"/>
        <w:ind w:leftChars="100" w:left="210" w:firstLine="482"/>
        <w:jc w:val="left"/>
        <w:rPr>
          <w:rFonts w:ascii="宋体" w:hAnsi="宋体" w:cs="宋体"/>
          <w:kern w:val="0"/>
          <w:sz w:val="24"/>
          <w:szCs w:val="24"/>
        </w:rPr>
      </w:pPr>
      <w:r w:rsidRPr="00467FE8">
        <w:rPr>
          <w:rFonts w:ascii="方正仿宋_GBK" w:eastAsia="方正仿宋_GBK" w:hAnsi="宋体" w:cs="宋体" w:hint="eastAsia"/>
          <w:bCs/>
          <w:kern w:val="0"/>
          <w:sz w:val="24"/>
          <w:szCs w:val="24"/>
        </w:rPr>
        <w:t>单位：</w:t>
      </w:r>
      <w:r w:rsidRPr="00467FE8">
        <w:rPr>
          <w:rFonts w:ascii="宋体" w:hAnsi="宋体" w:cs="宋体"/>
          <w:bCs/>
          <w:kern w:val="0"/>
          <w:sz w:val="24"/>
          <w:szCs w:val="24"/>
        </w:rPr>
        <w:t>%</w:t>
      </w:r>
      <w:r w:rsidRPr="00467FE8">
        <w:rPr>
          <w:rFonts w:ascii="方正仿宋_GBK" w:eastAsia="方正仿宋_GBK" w:hAnsi="宋体" w:cs="宋体" w:hint="eastAsia"/>
          <w:bCs/>
          <w:kern w:val="0"/>
          <w:sz w:val="24"/>
          <w:szCs w:val="24"/>
        </w:rPr>
        <w:t>、万人</w:t>
      </w:r>
    </w:p>
    <w:tbl>
      <w:tblPr>
        <w:tblW w:w="8955" w:type="dxa"/>
        <w:jc w:val="center"/>
        <w:tblCellMar>
          <w:left w:w="0" w:type="dxa"/>
          <w:right w:w="0" w:type="dxa"/>
        </w:tblCellMar>
        <w:tblLook w:val="04A0" w:firstRow="1" w:lastRow="0" w:firstColumn="1" w:lastColumn="0" w:noHBand="0" w:noVBand="1"/>
      </w:tblPr>
      <w:tblGrid>
        <w:gridCol w:w="1012"/>
        <w:gridCol w:w="1323"/>
        <w:gridCol w:w="1324"/>
        <w:gridCol w:w="1324"/>
        <w:gridCol w:w="1324"/>
        <w:gridCol w:w="1324"/>
        <w:gridCol w:w="1324"/>
      </w:tblGrid>
      <w:tr w:rsidR="00640A31" w:rsidRPr="00C4705B" w:rsidTr="00974084">
        <w:trPr>
          <w:trHeight w:val="270"/>
          <w:jc w:val="center"/>
        </w:trPr>
        <w:tc>
          <w:tcPr>
            <w:tcW w:w="1012" w:type="dxa"/>
            <w:tcBorders>
              <w:top w:val="single" w:sz="12"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地区</w:t>
            </w:r>
          </w:p>
        </w:tc>
        <w:tc>
          <w:tcPr>
            <w:tcW w:w="1323" w:type="dxa"/>
            <w:tcBorders>
              <w:top w:val="single" w:sz="12"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2014年</w:t>
            </w:r>
          </w:p>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城镇化率</w:t>
            </w:r>
          </w:p>
        </w:tc>
        <w:tc>
          <w:tcPr>
            <w:tcW w:w="1324" w:type="dxa"/>
            <w:tcBorders>
              <w:top w:val="single" w:sz="12" w:space="0" w:color="auto"/>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近五年新增常住人口</w:t>
            </w:r>
          </w:p>
        </w:tc>
        <w:tc>
          <w:tcPr>
            <w:tcW w:w="1324" w:type="dxa"/>
            <w:tcBorders>
              <w:top w:val="single" w:sz="12" w:space="0" w:color="auto"/>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近五年新增城镇人口</w:t>
            </w:r>
          </w:p>
        </w:tc>
        <w:tc>
          <w:tcPr>
            <w:tcW w:w="1324" w:type="dxa"/>
            <w:tcBorders>
              <w:top w:val="single" w:sz="12" w:space="0" w:color="auto"/>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竣工面积</w:t>
            </w:r>
          </w:p>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增速/城镇人口增速</w:t>
            </w:r>
          </w:p>
        </w:tc>
        <w:tc>
          <w:tcPr>
            <w:tcW w:w="1324" w:type="dxa"/>
            <w:tcBorders>
              <w:top w:val="single" w:sz="12" w:space="0" w:color="auto"/>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开发投资</w:t>
            </w:r>
          </w:p>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增速/城镇人口增速</w:t>
            </w:r>
          </w:p>
        </w:tc>
        <w:tc>
          <w:tcPr>
            <w:tcW w:w="1324" w:type="dxa"/>
            <w:tcBorders>
              <w:top w:val="single" w:sz="12" w:space="0" w:color="auto"/>
              <w:left w:val="nil"/>
              <w:bottom w:val="single" w:sz="8" w:space="0" w:color="auto"/>
              <w:right w:val="nil"/>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方正黑体_GBK" w:eastAsia="方正黑体_GBK" w:hAnsi="宋体" w:cs="宋体" w:hint="eastAsia"/>
                <w:color w:val="000000"/>
                <w:kern w:val="0"/>
                <w:sz w:val="24"/>
                <w:szCs w:val="24"/>
              </w:rPr>
              <w:t>新开工面积增速/城镇人口增速</w:t>
            </w:r>
          </w:p>
        </w:tc>
      </w:tr>
      <w:tr w:rsidR="00640A31" w:rsidRPr="00C4705B" w:rsidTr="00974084">
        <w:trPr>
          <w:trHeight w:val="340"/>
          <w:jc w:val="center"/>
        </w:trPr>
        <w:tc>
          <w:tcPr>
            <w:tcW w:w="101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hint="eastAsia"/>
                <w:color w:val="000000"/>
                <w:kern w:val="0"/>
                <w:sz w:val="24"/>
                <w:szCs w:val="24"/>
              </w:rPr>
              <w:t>北京市</w:t>
            </w:r>
          </w:p>
        </w:tc>
        <w:tc>
          <w:tcPr>
            <w:tcW w:w="132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86.3</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292</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277</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0"/>
              </w:rPr>
              <w:t>-0.3</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7.3</w:t>
            </w:r>
          </w:p>
        </w:tc>
        <w:tc>
          <w:tcPr>
            <w:tcW w:w="1324" w:type="dxa"/>
            <w:tcBorders>
              <w:top w:val="nil"/>
              <w:left w:val="nil"/>
              <w:bottom w:val="single" w:sz="8" w:space="0" w:color="auto"/>
              <w:right w:val="nil"/>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1.6</w:t>
            </w:r>
          </w:p>
        </w:tc>
      </w:tr>
      <w:tr w:rsidR="00640A31" w:rsidRPr="00C4705B" w:rsidTr="00974084">
        <w:trPr>
          <w:trHeight w:val="340"/>
          <w:jc w:val="center"/>
        </w:trPr>
        <w:tc>
          <w:tcPr>
            <w:tcW w:w="101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hint="eastAsia"/>
                <w:color w:val="000000"/>
                <w:kern w:val="0"/>
                <w:sz w:val="24"/>
                <w:szCs w:val="24"/>
              </w:rPr>
              <w:t>天津市</w:t>
            </w:r>
          </w:p>
        </w:tc>
        <w:tc>
          <w:tcPr>
            <w:tcW w:w="132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40A31" w:rsidRPr="00C4705B" w:rsidRDefault="00640A31" w:rsidP="00974084">
            <w:pPr>
              <w:widowControl/>
              <w:jc w:val="left"/>
              <w:rPr>
                <w:rFonts w:ascii="宋体" w:hAnsi="宋体" w:cs="宋体"/>
                <w:kern w:val="0"/>
                <w:sz w:val="24"/>
                <w:szCs w:val="24"/>
              </w:rPr>
            </w:pPr>
            <w:r w:rsidRPr="00C4705B">
              <w:rPr>
                <w:rFonts w:ascii="宋体" w:hAnsi="宋体" w:cs="宋体"/>
                <w:color w:val="000000"/>
                <w:kern w:val="0"/>
                <w:sz w:val="24"/>
                <w:szCs w:val="24"/>
              </w:rPr>
              <w:t>82.3</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left"/>
              <w:rPr>
                <w:rFonts w:ascii="宋体" w:hAnsi="宋体" w:cs="宋体"/>
                <w:kern w:val="0"/>
                <w:sz w:val="24"/>
                <w:szCs w:val="24"/>
              </w:rPr>
            </w:pPr>
            <w:r w:rsidRPr="00C4705B">
              <w:rPr>
                <w:rFonts w:ascii="宋体" w:hAnsi="宋体" w:cs="宋体"/>
                <w:color w:val="000000"/>
                <w:kern w:val="0"/>
                <w:sz w:val="24"/>
                <w:szCs w:val="24"/>
              </w:rPr>
              <w:t>289</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left"/>
              <w:rPr>
                <w:rFonts w:ascii="宋体" w:hAnsi="宋体" w:cs="宋体"/>
                <w:kern w:val="0"/>
                <w:sz w:val="24"/>
                <w:szCs w:val="24"/>
              </w:rPr>
            </w:pPr>
            <w:r w:rsidRPr="00C4705B">
              <w:rPr>
                <w:rFonts w:ascii="宋体" w:hAnsi="宋体" w:cs="宋体"/>
                <w:color w:val="000000"/>
                <w:kern w:val="0"/>
                <w:sz w:val="24"/>
                <w:szCs w:val="24"/>
              </w:rPr>
              <w:t>290</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0"/>
              </w:rPr>
              <w:t>2.6</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3.9</w:t>
            </w:r>
          </w:p>
        </w:tc>
        <w:tc>
          <w:tcPr>
            <w:tcW w:w="1324" w:type="dxa"/>
            <w:tcBorders>
              <w:top w:val="nil"/>
              <w:left w:val="nil"/>
              <w:bottom w:val="single" w:sz="8" w:space="0" w:color="auto"/>
              <w:right w:val="nil"/>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-0.7</w:t>
            </w:r>
          </w:p>
        </w:tc>
      </w:tr>
      <w:tr w:rsidR="00640A31" w:rsidRPr="00C4705B" w:rsidTr="00974084">
        <w:trPr>
          <w:trHeight w:val="557"/>
          <w:jc w:val="center"/>
        </w:trPr>
        <w:tc>
          <w:tcPr>
            <w:tcW w:w="101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hint="eastAsia"/>
                <w:color w:val="000000"/>
                <w:kern w:val="0"/>
                <w:sz w:val="24"/>
                <w:szCs w:val="24"/>
              </w:rPr>
              <w:t>上海市</w:t>
            </w:r>
          </w:p>
        </w:tc>
        <w:tc>
          <w:tcPr>
            <w:tcW w:w="132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89.6</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216</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215</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left"/>
              <w:rPr>
                <w:rFonts w:ascii="宋体" w:hAnsi="宋体" w:cs="宋体"/>
                <w:kern w:val="0"/>
                <w:sz w:val="24"/>
                <w:szCs w:val="24"/>
              </w:rPr>
            </w:pPr>
            <w:r w:rsidRPr="00C4705B">
              <w:rPr>
                <w:rFonts w:ascii="宋体" w:hAnsi="宋体" w:cs="宋体"/>
                <w:color w:val="000000"/>
                <w:kern w:val="0"/>
                <w:sz w:val="20"/>
              </w:rPr>
              <w:t>1.0</w:t>
            </w:r>
          </w:p>
        </w:tc>
        <w:tc>
          <w:tcPr>
            <w:tcW w:w="13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left"/>
              <w:rPr>
                <w:rFonts w:ascii="宋体" w:hAnsi="宋体" w:cs="宋体"/>
                <w:kern w:val="0"/>
                <w:sz w:val="24"/>
                <w:szCs w:val="24"/>
              </w:rPr>
            </w:pPr>
            <w:r w:rsidRPr="00C4705B">
              <w:rPr>
                <w:rFonts w:ascii="宋体" w:hAnsi="宋体" w:cs="宋体"/>
                <w:color w:val="000000"/>
                <w:kern w:val="0"/>
                <w:sz w:val="24"/>
                <w:szCs w:val="24"/>
              </w:rPr>
              <w:t>10.3</w:t>
            </w:r>
          </w:p>
        </w:tc>
        <w:tc>
          <w:tcPr>
            <w:tcW w:w="1324" w:type="dxa"/>
            <w:tcBorders>
              <w:top w:val="nil"/>
              <w:left w:val="nil"/>
              <w:bottom w:val="single" w:sz="8" w:space="0" w:color="auto"/>
              <w:right w:val="nil"/>
            </w:tcBorders>
            <w:tcMar>
              <w:top w:w="0" w:type="dxa"/>
              <w:left w:w="108" w:type="dxa"/>
              <w:bottom w:w="0" w:type="dxa"/>
              <w:right w:w="108" w:type="dxa"/>
            </w:tcMar>
            <w:vAlign w:val="center"/>
            <w:hideMark/>
          </w:tcPr>
          <w:p w:rsidR="00640A31" w:rsidRPr="00C4705B" w:rsidRDefault="00640A31" w:rsidP="00974084">
            <w:pPr>
              <w:widowControl/>
              <w:jc w:val="left"/>
              <w:rPr>
                <w:rFonts w:ascii="宋体" w:hAnsi="宋体" w:cs="宋体"/>
                <w:kern w:val="0"/>
                <w:sz w:val="24"/>
                <w:szCs w:val="24"/>
              </w:rPr>
            </w:pPr>
            <w:r w:rsidRPr="00C4705B">
              <w:rPr>
                <w:rFonts w:ascii="宋体" w:hAnsi="宋体" w:cs="宋体"/>
                <w:color w:val="000000"/>
                <w:kern w:val="0"/>
                <w:sz w:val="24"/>
                <w:szCs w:val="24"/>
              </w:rPr>
              <w:t>7.4</w:t>
            </w:r>
          </w:p>
        </w:tc>
      </w:tr>
      <w:tr w:rsidR="00640A31" w:rsidRPr="00C4705B" w:rsidTr="00974084">
        <w:trPr>
          <w:trHeight w:val="977"/>
          <w:jc w:val="center"/>
        </w:trPr>
        <w:tc>
          <w:tcPr>
            <w:tcW w:w="1012" w:type="dxa"/>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hint="eastAsia"/>
                <w:color w:val="000000"/>
                <w:kern w:val="0"/>
                <w:sz w:val="24"/>
                <w:szCs w:val="24"/>
              </w:rPr>
              <w:lastRenderedPageBreak/>
              <w:t>主城区</w:t>
            </w:r>
          </w:p>
        </w:tc>
        <w:tc>
          <w:tcPr>
            <w:tcW w:w="1323" w:type="dxa"/>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40A31" w:rsidRPr="00636A7D" w:rsidRDefault="00640A31" w:rsidP="00974084">
            <w:pPr>
              <w:widowControl/>
              <w:jc w:val="center"/>
              <w:rPr>
                <w:rFonts w:ascii="宋体" w:hAnsi="宋体" w:cs="宋体"/>
                <w:color w:val="000000"/>
                <w:kern w:val="0"/>
                <w:sz w:val="24"/>
                <w:szCs w:val="24"/>
              </w:rPr>
            </w:pPr>
            <w:r w:rsidRPr="00636A7D">
              <w:rPr>
                <w:rFonts w:ascii="宋体" w:hAnsi="宋体" w:cs="宋体"/>
                <w:color w:val="000000"/>
                <w:kern w:val="0"/>
                <w:sz w:val="24"/>
                <w:szCs w:val="24"/>
              </w:rPr>
              <w:t>88.2</w:t>
            </w:r>
          </w:p>
        </w:tc>
        <w:tc>
          <w:tcPr>
            <w:tcW w:w="1324"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rsidR="00640A31" w:rsidRPr="00636A7D" w:rsidRDefault="00640A31" w:rsidP="00974084">
            <w:pPr>
              <w:widowControl/>
              <w:jc w:val="right"/>
              <w:rPr>
                <w:rFonts w:ascii="宋体" w:hAnsi="宋体" w:cs="宋体"/>
                <w:color w:val="000000"/>
                <w:kern w:val="0"/>
                <w:sz w:val="24"/>
                <w:szCs w:val="24"/>
              </w:rPr>
            </w:pPr>
            <w:r w:rsidRPr="00636A7D">
              <w:rPr>
                <w:rFonts w:ascii="宋体" w:hAnsi="宋体" w:cs="宋体"/>
                <w:color w:val="000000"/>
                <w:kern w:val="0"/>
                <w:sz w:val="24"/>
                <w:szCs w:val="24"/>
              </w:rPr>
              <w:t>124</w:t>
            </w:r>
          </w:p>
        </w:tc>
        <w:tc>
          <w:tcPr>
            <w:tcW w:w="1324"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rsidR="00640A31" w:rsidRPr="00636A7D" w:rsidRDefault="00640A31" w:rsidP="00974084">
            <w:pPr>
              <w:widowControl/>
              <w:jc w:val="right"/>
              <w:rPr>
                <w:rFonts w:ascii="宋体" w:hAnsi="宋体" w:cs="宋体"/>
                <w:color w:val="000000"/>
                <w:kern w:val="0"/>
                <w:sz w:val="24"/>
                <w:szCs w:val="24"/>
              </w:rPr>
            </w:pPr>
            <w:r w:rsidRPr="00636A7D">
              <w:rPr>
                <w:rFonts w:ascii="宋体" w:hAnsi="宋体" w:cs="宋体"/>
                <w:color w:val="000000"/>
                <w:kern w:val="0"/>
                <w:sz w:val="24"/>
                <w:szCs w:val="24"/>
              </w:rPr>
              <w:t>128</w:t>
            </w:r>
          </w:p>
        </w:tc>
        <w:tc>
          <w:tcPr>
            <w:tcW w:w="1324"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0"/>
              </w:rPr>
              <w:t>3.9</w:t>
            </w:r>
          </w:p>
        </w:tc>
        <w:tc>
          <w:tcPr>
            <w:tcW w:w="1324"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11.5</w:t>
            </w:r>
          </w:p>
        </w:tc>
        <w:tc>
          <w:tcPr>
            <w:tcW w:w="1324" w:type="dxa"/>
            <w:tcBorders>
              <w:top w:val="nil"/>
              <w:left w:val="nil"/>
              <w:bottom w:val="single" w:sz="12" w:space="0" w:color="auto"/>
              <w:right w:val="nil"/>
            </w:tcBorders>
            <w:tcMar>
              <w:top w:w="0" w:type="dxa"/>
              <w:left w:w="108" w:type="dxa"/>
              <w:bottom w:w="0" w:type="dxa"/>
              <w:right w:w="108" w:type="dxa"/>
            </w:tcMar>
            <w:vAlign w:val="center"/>
            <w:hideMark/>
          </w:tcPr>
          <w:p w:rsidR="00640A31" w:rsidRPr="00C4705B" w:rsidRDefault="00640A31" w:rsidP="00974084">
            <w:pPr>
              <w:widowControl/>
              <w:jc w:val="center"/>
              <w:rPr>
                <w:rFonts w:ascii="宋体" w:hAnsi="宋体" w:cs="宋体"/>
                <w:kern w:val="0"/>
                <w:sz w:val="24"/>
                <w:szCs w:val="24"/>
              </w:rPr>
            </w:pPr>
            <w:r w:rsidRPr="00C4705B">
              <w:rPr>
                <w:rFonts w:ascii="宋体" w:hAnsi="宋体" w:cs="宋体"/>
                <w:color w:val="000000"/>
                <w:kern w:val="0"/>
                <w:sz w:val="24"/>
                <w:szCs w:val="24"/>
              </w:rPr>
              <w:t>5.8</w:t>
            </w:r>
          </w:p>
        </w:tc>
      </w:tr>
    </w:tbl>
    <w:p w:rsidR="00640A31" w:rsidRDefault="00640A31" w:rsidP="00640A31">
      <w:pPr>
        <w:widowControl/>
        <w:ind w:leftChars="100" w:left="210" w:firstLine="420"/>
        <w:jc w:val="left"/>
        <w:rPr>
          <w:rFonts w:ascii="宋体" w:hAnsi="宋体" w:cs="宋体"/>
          <w:kern w:val="0"/>
          <w:szCs w:val="21"/>
        </w:rPr>
      </w:pPr>
      <w:r w:rsidRPr="00D77719">
        <w:rPr>
          <w:rFonts w:ascii="宋体" w:hAnsi="宋体" w:cs="宋体" w:hint="eastAsia"/>
          <w:kern w:val="0"/>
          <w:szCs w:val="21"/>
        </w:rPr>
        <w:br/>
      </w:r>
    </w:p>
    <w:p w:rsidR="00640A31" w:rsidRPr="00565434" w:rsidRDefault="00640A31" w:rsidP="00640A31">
      <w:pPr>
        <w:widowControl/>
        <w:ind w:leftChars="100" w:left="210" w:firstLine="420"/>
        <w:jc w:val="left"/>
        <w:rPr>
          <w:rFonts w:ascii="宋体" w:hAnsi="宋体" w:cs="宋体"/>
          <w:kern w:val="0"/>
          <w:szCs w:val="21"/>
        </w:rPr>
      </w:pPr>
      <w:r w:rsidRPr="00D77719">
        <w:rPr>
          <w:rFonts w:ascii="宋体" w:hAnsi="宋体" w:cs="宋体" w:hint="eastAsia"/>
          <w:kern w:val="0"/>
          <w:szCs w:val="21"/>
        </w:rPr>
        <w:br/>
      </w:r>
      <w:r w:rsidRPr="00565434">
        <w:rPr>
          <w:rFonts w:ascii="宋体" w:hAnsi="宋体" w:cs="宋体" w:hint="eastAsia"/>
          <w:kern w:val="0"/>
          <w:szCs w:val="21"/>
        </w:rPr>
        <w:t xml:space="preserve">　　二、服务业商务活动指数为50.9%,温和扩张 </w:t>
      </w:r>
    </w:p>
    <w:p w:rsidR="00640A31" w:rsidRPr="00D77719" w:rsidRDefault="00640A31" w:rsidP="00640A31">
      <w:pPr>
        <w:widowControl/>
        <w:ind w:leftChars="100" w:left="210" w:firstLine="420"/>
        <w:jc w:val="left"/>
        <w:rPr>
          <w:rFonts w:ascii="宋体" w:hAnsi="宋体" w:cs="宋体"/>
          <w:kern w:val="0"/>
          <w:szCs w:val="21"/>
        </w:rPr>
      </w:pPr>
      <w:r w:rsidRPr="00565434">
        <w:rPr>
          <w:rFonts w:ascii="宋体" w:hAnsi="宋体" w:cs="宋体" w:hint="eastAsia"/>
          <w:kern w:val="0"/>
          <w:szCs w:val="21"/>
        </w:rPr>
        <w:t xml:space="preserve">　　</w:t>
      </w:r>
      <w:r>
        <w:rPr>
          <w:rFonts w:ascii="宋体" w:hAnsi="宋体" w:cs="宋体" w:hint="eastAsia"/>
          <w:kern w:val="0"/>
          <w:szCs w:val="21"/>
        </w:rPr>
        <w:t xml:space="preserve">   </w:t>
      </w:r>
      <w:r w:rsidRPr="00565434">
        <w:rPr>
          <w:rFonts w:ascii="宋体" w:hAnsi="宋体" w:cs="宋体" w:hint="eastAsia"/>
          <w:kern w:val="0"/>
          <w:szCs w:val="21"/>
        </w:rPr>
        <w:t>8月份，北京市服务业商务活动指数为50.9%，2014年以来持续运行在荣枯线以上（见图2），反映服务业业务开展仍保持温和扩张态势。从走势看，指数连续2个月走低，当月环比回落1.3个百分点，下调幅度较上月扩大0.4个百分点，为年内最低点，反映在市场需求整体低迷、经济下行风险依然较大、资本市场震荡走低等因素的影响下，服务业业务扩张速度有所放缓。</w:t>
      </w:r>
      <w:r w:rsidRPr="00D77719">
        <w:rPr>
          <w:rFonts w:ascii="宋体" w:hAnsi="宋体" w:cs="宋体" w:hint="eastAsia"/>
          <w:kern w:val="0"/>
          <w:szCs w:val="21"/>
        </w:rPr>
        <w:t> </w:t>
      </w:r>
    </w:p>
    <w:p w:rsidR="00640A31" w:rsidRPr="00D77719" w:rsidRDefault="00640A31" w:rsidP="00640A31">
      <w:pPr>
        <w:widowControl/>
        <w:ind w:leftChars="100" w:left="210"/>
        <w:jc w:val="center"/>
        <w:rPr>
          <w:rFonts w:ascii="宋体" w:hAnsi="宋体" w:cs="宋体"/>
          <w:kern w:val="0"/>
          <w:szCs w:val="21"/>
        </w:rPr>
      </w:pPr>
      <w:r w:rsidRPr="00D77719">
        <w:rPr>
          <w:rFonts w:ascii="宋体" w:hAnsi="宋体" w:cs="宋体" w:hint="eastAsia"/>
          <w:kern w:val="0"/>
          <w:szCs w:val="21"/>
        </w:rPr>
        <w:t>图2　北京服务业商务活动指数走势</w:t>
      </w:r>
      <w:r>
        <w:rPr>
          <w:rFonts w:ascii="宋体" w:hAnsi="宋体" w:cs="宋体" w:hint="eastAsia"/>
          <w:kern w:val="0"/>
          <w:szCs w:val="21"/>
        </w:rPr>
        <w:t xml:space="preserve"> </w:t>
      </w:r>
    </w:p>
    <w:p w:rsidR="00640A31" w:rsidRPr="00D77719" w:rsidRDefault="00640A31" w:rsidP="00640A31">
      <w:pPr>
        <w:widowControl/>
        <w:ind w:leftChars="100" w:left="210"/>
        <w:jc w:val="left"/>
        <w:rPr>
          <w:rFonts w:ascii="宋体" w:hAnsi="宋体" w:cs="宋体"/>
          <w:kern w:val="0"/>
          <w:szCs w:val="21"/>
        </w:rPr>
      </w:pPr>
      <w:r w:rsidRPr="00D77719">
        <w:rPr>
          <w:rFonts w:ascii="宋体" w:hAnsi="宋体" w:cs="宋体" w:hint="eastAsia"/>
          <w:kern w:val="0"/>
          <w:szCs w:val="21"/>
        </w:rPr>
        <w:t> </w:t>
      </w:r>
    </w:p>
    <w:p w:rsidR="00640A31" w:rsidRPr="00D77719" w:rsidRDefault="00640A31" w:rsidP="00640A31">
      <w:pPr>
        <w:widowControl/>
        <w:ind w:leftChars="100" w:left="210"/>
        <w:jc w:val="center"/>
        <w:rPr>
          <w:rFonts w:ascii="宋体" w:hAnsi="宋体" w:cs="宋体"/>
          <w:kern w:val="0"/>
          <w:szCs w:val="21"/>
        </w:rPr>
      </w:pPr>
      <w:r w:rsidRPr="00D77719">
        <w:rPr>
          <w:rFonts w:ascii="宋体" w:hAnsi="宋体" w:cs="宋体"/>
          <w:kern w:val="0"/>
          <w:szCs w:val="21"/>
        </w:rPr>
        <w:fldChar w:fldCharType="begin"/>
      </w:r>
      <w:r w:rsidRPr="00D77719">
        <w:rPr>
          <w:rFonts w:ascii="宋体" w:hAnsi="宋体" w:cs="宋体"/>
          <w:kern w:val="0"/>
          <w:szCs w:val="21"/>
        </w:rPr>
        <w:instrText xml:space="preserve"> INCLUDEPICTURE "http://10.6.132.108:8080/webpic/W0201509/W020150911/W020150911593776424929.gif" \* MERGEFORMATINET </w:instrText>
      </w:r>
      <w:r w:rsidRPr="00D77719">
        <w:rPr>
          <w:rFonts w:ascii="宋体" w:hAnsi="宋体" w:cs="宋体"/>
          <w:kern w:val="0"/>
          <w:szCs w:val="21"/>
        </w:rPr>
        <w:fldChar w:fldCharType="separate"/>
      </w:r>
      <w:r>
        <w:rPr>
          <w:rFonts w:ascii="宋体" w:hAnsi="宋体" w:cs="宋体"/>
          <w:kern w:val="0"/>
          <w:szCs w:val="21"/>
        </w:rPr>
        <w:fldChar w:fldCharType="begin"/>
      </w:r>
      <w:r>
        <w:rPr>
          <w:rFonts w:ascii="宋体" w:hAnsi="宋体" w:cs="宋体"/>
          <w:kern w:val="0"/>
          <w:szCs w:val="21"/>
        </w:rPr>
        <w:instrText xml:space="preserve"> INCLUDEPICTURE  "http://10.6.132.108:8080/webpic/W0201509/W020150911/W020150911593776424929.gif" \* MERGEFORMATINET </w:instrText>
      </w:r>
      <w:r>
        <w:rPr>
          <w:rFonts w:ascii="宋体" w:hAnsi="宋体" w:cs="宋体"/>
          <w:kern w:val="0"/>
          <w:szCs w:val="21"/>
        </w:rPr>
        <w:fldChar w:fldCharType="separate"/>
      </w:r>
      <w:r>
        <w:rPr>
          <w:rFonts w:ascii="宋体" w:hAnsi="宋体" w:cs="宋体"/>
          <w:kern w:val="0"/>
          <w:szCs w:val="21"/>
        </w:rPr>
        <w:fldChar w:fldCharType="begin"/>
      </w:r>
      <w:r>
        <w:rPr>
          <w:rFonts w:ascii="宋体" w:hAnsi="宋体" w:cs="宋体"/>
          <w:kern w:val="0"/>
          <w:szCs w:val="21"/>
        </w:rPr>
        <w:instrText xml:space="preserve"> INCLUDEPICTURE  "http://10.6.132.108:8080/webpic/W0201509/W020150911/W020150911593776424929.gif" \* MERGEFORMATINET </w:instrText>
      </w:r>
      <w:r>
        <w:rPr>
          <w:rFonts w:ascii="宋体" w:hAnsi="宋体" w:cs="宋体"/>
          <w:kern w:val="0"/>
          <w:szCs w:val="21"/>
        </w:rPr>
        <w:fldChar w:fldCharType="separate"/>
      </w:r>
      <w:r>
        <w:rPr>
          <w:rFonts w:ascii="宋体" w:hAnsi="宋体" w:cs="宋体"/>
          <w:kern w:val="0"/>
          <w:szCs w:val="21"/>
        </w:rPr>
        <w:pict>
          <v:shape id="_x0000_i1026" type="#_x0000_t75" style="width:417.75pt;height:201.75pt">
            <v:imagedata r:id="rId8" r:href="rId9"/>
          </v:shape>
        </w:pict>
      </w:r>
      <w:r>
        <w:rPr>
          <w:rFonts w:ascii="宋体" w:hAnsi="宋体" w:cs="宋体"/>
          <w:kern w:val="0"/>
          <w:szCs w:val="21"/>
        </w:rPr>
        <w:fldChar w:fldCharType="end"/>
      </w:r>
      <w:r>
        <w:rPr>
          <w:rFonts w:ascii="宋体" w:hAnsi="宋体" w:cs="宋体"/>
          <w:kern w:val="0"/>
          <w:szCs w:val="21"/>
        </w:rPr>
        <w:fldChar w:fldCharType="end"/>
      </w:r>
      <w:r w:rsidRPr="00D77719">
        <w:rPr>
          <w:rFonts w:ascii="宋体" w:hAnsi="宋体" w:cs="宋体"/>
          <w:kern w:val="0"/>
          <w:szCs w:val="21"/>
        </w:rPr>
        <w:fldChar w:fldCharType="end"/>
      </w:r>
    </w:p>
    <w:p w:rsidR="00640A31" w:rsidRPr="00E13E53" w:rsidRDefault="00640A31" w:rsidP="00640A31">
      <w:pPr>
        <w:widowControl/>
        <w:ind w:leftChars="100" w:left="210"/>
        <w:jc w:val="center"/>
        <w:rPr>
          <w:rFonts w:ascii="宋体" w:hAnsi="宋体" w:cs="宋体"/>
          <w:kern w:val="0"/>
          <w:szCs w:val="21"/>
        </w:rPr>
      </w:pPr>
      <w:r w:rsidRPr="00E13E53">
        <w:rPr>
          <w:rFonts w:ascii="宋体" w:hAnsi="宋体" w:cs="宋体" w:hint="eastAsia"/>
          <w:kern w:val="0"/>
          <w:szCs w:val="21"/>
        </w:rPr>
        <w:t xml:space="preserve">　　（一）市场需求延续降势，价格指数低位企稳</w:t>
      </w:r>
    </w:p>
    <w:p w:rsidR="00640A31" w:rsidRPr="00E13E53" w:rsidRDefault="00640A31" w:rsidP="00640A31">
      <w:pPr>
        <w:widowControl/>
        <w:ind w:leftChars="100" w:left="210"/>
        <w:jc w:val="center"/>
        <w:rPr>
          <w:rFonts w:ascii="宋体" w:hAnsi="宋体" w:cs="宋体"/>
          <w:kern w:val="0"/>
          <w:szCs w:val="21"/>
        </w:rPr>
      </w:pPr>
      <w:r w:rsidRPr="00E13E53">
        <w:rPr>
          <w:rFonts w:ascii="宋体" w:hAnsi="宋体" w:cs="宋体" w:hint="eastAsia"/>
          <w:kern w:val="0"/>
          <w:szCs w:val="21"/>
        </w:rPr>
        <w:t xml:space="preserve">　　从主要分类指数看，8月份，新订单指数为46.8%，环比下降2.4个百分点，回调幅度较上月扩大1.3个百分点，连续2个月位于荣枯线以下，反映出当前服务业市场需求较为疲弱，企稳基础尚不稳固。投入品价格指数为51.4%，比上月回升0.7个百分点，连续5个月保持扩张，显示企业中间投入价格稳中趋升。销售价格指数为49.2%，环比微升0.1个百分点，继续位于收缩区，但收缩幅度连续4个月减小。需要指出的是，价格指数虽同时呈现回稳迹象，但销售价格指数回升幅度偏弱，仍需通过有效的政策扶持和市场环境的培育，提振市场需求，推进价格的平稳回升。 </w:t>
      </w:r>
    </w:p>
    <w:p w:rsidR="00640A31" w:rsidRPr="00E13E53" w:rsidRDefault="00640A31" w:rsidP="00640A31">
      <w:pPr>
        <w:widowControl/>
        <w:ind w:leftChars="100" w:left="210"/>
        <w:jc w:val="center"/>
        <w:rPr>
          <w:rFonts w:ascii="宋体" w:hAnsi="宋体" w:cs="宋体"/>
          <w:kern w:val="0"/>
          <w:szCs w:val="21"/>
        </w:rPr>
      </w:pPr>
      <w:r w:rsidRPr="00E13E53">
        <w:rPr>
          <w:rFonts w:ascii="宋体" w:hAnsi="宋体" w:cs="宋体" w:hint="eastAsia"/>
          <w:kern w:val="0"/>
          <w:szCs w:val="21"/>
        </w:rPr>
        <w:t xml:space="preserve">　　（二）金融业回落幅度较大，消费行业表现积极 </w:t>
      </w:r>
    </w:p>
    <w:p w:rsidR="00640A31" w:rsidRPr="00E13E53" w:rsidRDefault="00640A31" w:rsidP="00640A31">
      <w:pPr>
        <w:widowControl/>
        <w:ind w:leftChars="100" w:left="210"/>
        <w:jc w:val="center"/>
        <w:rPr>
          <w:rFonts w:ascii="宋体" w:hAnsi="宋体" w:cs="宋体"/>
          <w:kern w:val="0"/>
          <w:szCs w:val="21"/>
        </w:rPr>
      </w:pPr>
      <w:r w:rsidRPr="00E13E53">
        <w:rPr>
          <w:rFonts w:ascii="宋体" w:hAnsi="宋体" w:cs="宋体" w:hint="eastAsia"/>
          <w:kern w:val="0"/>
          <w:szCs w:val="21"/>
        </w:rPr>
        <w:t xml:space="preserve">　　从行业发展情况看，受8月中下旬资本市场大幅下挫、风险偏好显著下降、投资谨慎情绪升温、经济增长不确定性增加等因素影响，金融业商务活动指数环比回落6.5个百分点，年内首次进入收缩区，成为下拉服务业总指数回落的重要力量。此外，由于生产流通领域供销较为低迷、交通限行及道路临时管制，交通运输、仓储和邮政业下降幅度较为明显，商务活动指数再次下探至50%以下。与上述行业表现不同的是，受暑期来京游客较多带动和暑期促销活动力度较大影响，住宿业扩张速度继续加快，商务活动指数连续2个月位于59%以上的较高景气水平；零售业业务量也稳步提升，商务活动指数环比提升5个百分点至53%。 </w:t>
      </w:r>
    </w:p>
    <w:p w:rsidR="00640A31" w:rsidRPr="00E13E53" w:rsidRDefault="00640A31" w:rsidP="00640A31">
      <w:pPr>
        <w:widowControl/>
        <w:ind w:leftChars="100" w:left="210"/>
        <w:jc w:val="center"/>
        <w:rPr>
          <w:rFonts w:ascii="宋体" w:hAnsi="宋体" w:cs="宋体"/>
          <w:kern w:val="0"/>
          <w:szCs w:val="21"/>
        </w:rPr>
      </w:pPr>
      <w:r w:rsidRPr="00E13E53">
        <w:rPr>
          <w:rFonts w:ascii="宋体" w:hAnsi="宋体" w:cs="宋体" w:hint="eastAsia"/>
          <w:kern w:val="0"/>
          <w:szCs w:val="21"/>
        </w:rPr>
        <w:t xml:space="preserve">　　三、影响经济发展的不稳定因素 </w:t>
      </w:r>
    </w:p>
    <w:p w:rsidR="00640A31" w:rsidRPr="00E13E53" w:rsidRDefault="00640A31" w:rsidP="00640A31">
      <w:pPr>
        <w:widowControl/>
        <w:ind w:leftChars="100" w:left="210"/>
        <w:jc w:val="center"/>
        <w:rPr>
          <w:rFonts w:ascii="宋体" w:hAnsi="宋体" w:cs="宋体"/>
          <w:kern w:val="0"/>
          <w:szCs w:val="21"/>
        </w:rPr>
      </w:pPr>
      <w:r w:rsidRPr="00E13E53">
        <w:rPr>
          <w:rFonts w:ascii="宋体" w:hAnsi="宋体" w:cs="宋体" w:hint="eastAsia"/>
          <w:kern w:val="0"/>
          <w:szCs w:val="21"/>
        </w:rPr>
        <w:lastRenderedPageBreak/>
        <w:t xml:space="preserve">　　调查显示，8月份北京市制造业PMI和服务业商务活动指数均有所回调，制造业PMI下行至近45个月的新低，企业生产经营中的问题和行业发展的制约因素依然突出。 </w:t>
      </w:r>
    </w:p>
    <w:p w:rsidR="00640A31" w:rsidRPr="00E13E53" w:rsidRDefault="00640A31" w:rsidP="00640A31">
      <w:pPr>
        <w:widowControl/>
        <w:ind w:leftChars="100" w:left="210"/>
        <w:jc w:val="center"/>
        <w:rPr>
          <w:rFonts w:ascii="宋体" w:hAnsi="宋体" w:cs="宋体"/>
          <w:kern w:val="0"/>
          <w:szCs w:val="21"/>
        </w:rPr>
      </w:pPr>
      <w:r w:rsidRPr="00E13E53">
        <w:rPr>
          <w:rFonts w:ascii="宋体" w:hAnsi="宋体" w:cs="宋体" w:hint="eastAsia"/>
          <w:kern w:val="0"/>
          <w:szCs w:val="21"/>
        </w:rPr>
        <w:t xml:space="preserve">　　（一）调查企业反映的问题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t xml:space="preserve">　　1.劳动力成本上涨。2014年以来，企业反映的问题中，“劳动力成本上涨”持续位居首位，8月份认同率为38.6%，环比回落1个百分点（见图3），连续2个月下调，劳动力价格上涨仍然困扰企业，但上涨幅度趋缓。分行业看，制造业中的纺织服装服饰业反映劳动力成本上涨的情况较为突出，企业认同率均在6成以上；服务业中的住宿业、餐饮业、邮政业反映劳动力成本上涨现象较为严重，企业认同率超过55%。 </w:t>
      </w:r>
    </w:p>
    <w:p w:rsidR="00640A31" w:rsidRPr="00E13E53" w:rsidRDefault="00640A31" w:rsidP="00640A31">
      <w:pPr>
        <w:widowControl/>
        <w:ind w:leftChars="100" w:left="210"/>
        <w:jc w:val="right"/>
        <w:rPr>
          <w:rFonts w:ascii="宋体" w:hAnsi="宋体" w:cs="宋体"/>
          <w:kern w:val="0"/>
          <w:szCs w:val="21"/>
        </w:rPr>
      </w:pPr>
      <w:r w:rsidRPr="00E13E53">
        <w:rPr>
          <w:rFonts w:ascii="宋体" w:hAnsi="宋体" w:cs="宋体" w:hint="eastAsia"/>
          <w:kern w:val="0"/>
          <w:szCs w:val="21"/>
        </w:rPr>
        <w:t xml:space="preserve">　　2.市场需求不足。8月份，企业反映的问题中，“市场需求减少，订单不足”认同率居第2位，达到35%，比上月回落2个百分点。分行业看，制造业市场需求更显不足，认同率达到49.7%，处于2013年调查以来的新高。其中，专用设备制造业、石油加工炼焦及核燃料加工业、有色金属冶炼及压延加工业等行业“订单不足”的认同率超过了8成。服务业中，批发业、住宿业反映需求减少的企业比重也分别达到45.3%和42.5%。 </w:t>
      </w:r>
    </w:p>
    <w:p w:rsidR="00640A31" w:rsidRPr="00E13E53" w:rsidRDefault="00640A31" w:rsidP="00640A31">
      <w:pPr>
        <w:widowControl/>
        <w:ind w:leftChars="100" w:left="210"/>
        <w:jc w:val="center"/>
        <w:rPr>
          <w:rFonts w:ascii="宋体" w:hAnsi="宋体" w:cs="宋体"/>
          <w:kern w:val="0"/>
          <w:szCs w:val="21"/>
        </w:rPr>
      </w:pPr>
      <w:r w:rsidRPr="00E13E53">
        <w:rPr>
          <w:rFonts w:ascii="宋体" w:hAnsi="宋体" w:cs="宋体" w:hint="eastAsia"/>
          <w:kern w:val="0"/>
          <w:szCs w:val="21"/>
        </w:rPr>
        <w:t xml:space="preserve">　　此外，选择“人民币汇率波动”的企业所占比重达到11.3%，环比大幅提升3.7个百分点，表明央行完善人民币汇率中间价报价机制以来，全市实体经济面临的汇率风险明显加大。其中，服务业的认同率更为明显，达到11.8%，高于总体水平0.5个百分点。</w:t>
      </w:r>
    </w:p>
    <w:p w:rsidR="00640A31" w:rsidRPr="00D77719" w:rsidRDefault="00640A31" w:rsidP="00640A31">
      <w:pPr>
        <w:widowControl/>
        <w:ind w:leftChars="100" w:left="210"/>
        <w:jc w:val="center"/>
        <w:rPr>
          <w:rFonts w:ascii="宋体" w:hAnsi="宋体" w:cs="宋体"/>
          <w:kern w:val="0"/>
          <w:szCs w:val="21"/>
        </w:rPr>
      </w:pPr>
      <w:r w:rsidRPr="00D77719">
        <w:rPr>
          <w:rFonts w:ascii="宋体" w:hAnsi="宋体" w:cs="宋体" w:hint="eastAsia"/>
          <w:kern w:val="0"/>
          <w:szCs w:val="21"/>
        </w:rPr>
        <w:t>图3　近两个月样本企业反映的问题比重对比</w:t>
      </w:r>
      <w:r>
        <w:rPr>
          <w:rFonts w:ascii="宋体" w:hAnsi="宋体" w:cs="宋体" w:hint="eastAsia"/>
          <w:kern w:val="0"/>
          <w:szCs w:val="21"/>
        </w:rPr>
        <w:t xml:space="preserve"> </w:t>
      </w:r>
    </w:p>
    <w:p w:rsidR="00640A31" w:rsidRPr="00D77719" w:rsidRDefault="00640A31" w:rsidP="00640A31">
      <w:pPr>
        <w:widowControl/>
        <w:ind w:leftChars="100" w:left="210"/>
        <w:jc w:val="center"/>
        <w:rPr>
          <w:rFonts w:ascii="宋体" w:hAnsi="宋体" w:cs="宋体"/>
          <w:kern w:val="0"/>
          <w:szCs w:val="21"/>
        </w:rPr>
      </w:pPr>
      <w:r w:rsidRPr="00D77719">
        <w:rPr>
          <w:rFonts w:ascii="宋体" w:hAnsi="宋体" w:cs="宋体"/>
          <w:kern w:val="0"/>
          <w:szCs w:val="21"/>
        </w:rPr>
        <w:fldChar w:fldCharType="begin"/>
      </w:r>
      <w:r w:rsidRPr="00D77719">
        <w:rPr>
          <w:rFonts w:ascii="宋体" w:hAnsi="宋体" w:cs="宋体"/>
          <w:kern w:val="0"/>
          <w:szCs w:val="21"/>
        </w:rPr>
        <w:instrText xml:space="preserve"> INCLUDEPICTURE "http://10.6.132.108:8080/webpic/W0201509/W020150911/W020150911593776427063.jpg" \* MERGEFORMATINET </w:instrText>
      </w:r>
      <w:r w:rsidRPr="00D77719">
        <w:rPr>
          <w:rFonts w:ascii="宋体" w:hAnsi="宋体" w:cs="宋体"/>
          <w:kern w:val="0"/>
          <w:szCs w:val="21"/>
        </w:rPr>
        <w:fldChar w:fldCharType="separate"/>
      </w:r>
      <w:r>
        <w:rPr>
          <w:rFonts w:ascii="宋体" w:hAnsi="宋体" w:cs="宋体"/>
          <w:kern w:val="0"/>
          <w:szCs w:val="21"/>
        </w:rPr>
        <w:fldChar w:fldCharType="begin"/>
      </w:r>
      <w:r>
        <w:rPr>
          <w:rFonts w:ascii="宋体" w:hAnsi="宋体" w:cs="宋体"/>
          <w:kern w:val="0"/>
          <w:szCs w:val="21"/>
        </w:rPr>
        <w:instrText xml:space="preserve"> INCLUDEPICTURE  "http://10.6.132.108:8080/webpic/W0201509/W020150911/W020150911593776427063.jpg" \* MERGEFORMATINET </w:instrText>
      </w:r>
      <w:r>
        <w:rPr>
          <w:rFonts w:ascii="宋体" w:hAnsi="宋体" w:cs="宋体"/>
          <w:kern w:val="0"/>
          <w:szCs w:val="21"/>
        </w:rPr>
        <w:fldChar w:fldCharType="separate"/>
      </w:r>
      <w:r>
        <w:rPr>
          <w:rFonts w:ascii="宋体" w:hAnsi="宋体" w:cs="宋体"/>
          <w:kern w:val="0"/>
          <w:szCs w:val="21"/>
        </w:rPr>
        <w:fldChar w:fldCharType="begin"/>
      </w:r>
      <w:r>
        <w:rPr>
          <w:rFonts w:ascii="宋体" w:hAnsi="宋体" w:cs="宋体"/>
          <w:kern w:val="0"/>
          <w:szCs w:val="21"/>
        </w:rPr>
        <w:instrText xml:space="preserve"> INCLUDEPICTURE  "http://10.6.132.108:8080/webpic/W0201509/W020150911/W020150911593776427063.jpg" \* MERGEFORMATINET </w:instrText>
      </w:r>
      <w:r>
        <w:rPr>
          <w:rFonts w:ascii="宋体" w:hAnsi="宋体" w:cs="宋体"/>
          <w:kern w:val="0"/>
          <w:szCs w:val="21"/>
        </w:rPr>
        <w:fldChar w:fldCharType="separate"/>
      </w:r>
      <w:r>
        <w:rPr>
          <w:rFonts w:ascii="宋体" w:hAnsi="宋体" w:cs="宋体"/>
          <w:kern w:val="0"/>
          <w:szCs w:val="21"/>
        </w:rPr>
        <w:pict>
          <v:shape id="_x0000_i1027" type="#_x0000_t75" style="width:336.55pt;height:163.25pt">
            <v:imagedata r:id="rId10" r:href="rId11"/>
          </v:shape>
        </w:pict>
      </w:r>
      <w:r>
        <w:rPr>
          <w:rFonts w:ascii="宋体" w:hAnsi="宋体" w:cs="宋体"/>
          <w:kern w:val="0"/>
          <w:szCs w:val="21"/>
        </w:rPr>
        <w:fldChar w:fldCharType="end"/>
      </w:r>
      <w:r>
        <w:rPr>
          <w:rFonts w:ascii="宋体" w:hAnsi="宋体" w:cs="宋体"/>
          <w:kern w:val="0"/>
          <w:szCs w:val="21"/>
        </w:rPr>
        <w:fldChar w:fldCharType="end"/>
      </w:r>
      <w:r w:rsidRPr="00D77719">
        <w:rPr>
          <w:rFonts w:ascii="宋体" w:hAnsi="宋体" w:cs="宋体"/>
          <w:kern w:val="0"/>
          <w:szCs w:val="21"/>
        </w:rPr>
        <w:fldChar w:fldCharType="end"/>
      </w:r>
    </w:p>
    <w:p w:rsidR="00640A31" w:rsidRPr="00D77719" w:rsidRDefault="00640A31" w:rsidP="00640A31">
      <w:pPr>
        <w:widowControl/>
        <w:ind w:leftChars="100" w:left="210"/>
        <w:jc w:val="left"/>
        <w:rPr>
          <w:rFonts w:ascii="宋体" w:hAnsi="宋体" w:cs="宋体"/>
          <w:kern w:val="0"/>
          <w:szCs w:val="21"/>
        </w:rPr>
      </w:pPr>
      <w:r w:rsidRPr="00D77719">
        <w:rPr>
          <w:rFonts w:ascii="宋体" w:hAnsi="宋体" w:cs="宋体" w:hint="eastAsia"/>
          <w:kern w:val="0"/>
          <w:szCs w:val="21"/>
        </w:rPr>
        <w:t>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t xml:space="preserve">　　（二）行业发展的制约因素及政策建议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t xml:space="preserve">　　新兴产业动能出现减弱迹象。从制造业看，高技术制造业PMI环比回落2.8个百分点，时隔1个月再次进入收缩区；战略性新兴产业和现代制造业回升乏力，其PMI分别为49.8%和49.9%，整体生产活动有所放缓。从服务业看，生产性服务业商务活动指数和新订单指数连续2个月走低，尤其新订单指数已连续5个月在荣枯线以下低位徘徊，反映国内制造业动能不足的传导作用持续显现；现代服务业商务活动指数也较上月回落3个百分点，微高于临界点。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t xml:space="preserve">　　建议：着力从“亮点、难点、增长点”三个方面下功夫。抓住亮点，进一步做强做大优势企业、行业龙头。以提升企业核心竞争力为目标，促进龙头骨干企业形成自主核心技术和自有知名品牌，增强行业市场话语权。扭住难点，对结构调整中具有良好发展前景、符合全市产业政策、经营较为困难的企业予以扶持，帮助企业扭转局面，搞好上下游产品对接，为转型发展赢得时间。培育增长点，积极谋划符合首都功能的以战略性新兴产业为代表的高精尖项目的储备、运作和落地，壮大其规模，加快推进先进制造业向研发、品牌、服务等环节延伸，增强内生动力。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t xml:space="preserve">　　四、企业预期有所回调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t xml:space="preserve">　　（一）制造业预期更为谨慎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lastRenderedPageBreak/>
        <w:t xml:space="preserve">　　调查显示，8月份，制造业生产活动预期指数环比下调2.2个百分点至53.4%，低于上年同期2.9个百分点，表明在宏观经济尚显低迷的环境下，采购经理们对经济发展的前景判断更趋谨慎。其中，对未来3个月内生产经营活动预计持“上升”和“变化不大”判断的采购经理比重为83.2%，较上月走低2.1个百分点。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t xml:space="preserve">　　（二）服务业发展信心略显减弱 </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hint="eastAsia"/>
          <w:kern w:val="0"/>
          <w:szCs w:val="21"/>
        </w:rPr>
        <w:t xml:space="preserve">　　调查显示，8月份，服务业业务经营活动预期指数为55.2%，较上月回落1.1个百分点，继续处于“较快扩张区”，表明当前北京市服务业企业对未来3个月市场发展预期继续保持比较乐观态度，但发展信心略显减弱。其中，对未来3个月内生产经营活动预计持“上升”和“基本持平”判断的企业比重为89.5%，比上月回落1.8个百分点。</w:t>
      </w:r>
    </w:p>
    <w:p w:rsidR="00640A31" w:rsidRPr="00E13E53" w:rsidRDefault="00640A31" w:rsidP="00640A31">
      <w:pPr>
        <w:widowControl/>
        <w:ind w:leftChars="100" w:left="210"/>
        <w:jc w:val="left"/>
        <w:rPr>
          <w:rFonts w:ascii="宋体" w:hAnsi="宋体" w:cs="宋体"/>
          <w:kern w:val="0"/>
          <w:szCs w:val="21"/>
        </w:rPr>
      </w:pPr>
      <w:r w:rsidRPr="00E13E53">
        <w:rPr>
          <w:rFonts w:ascii="宋体" w:hAnsi="宋体" w:cs="宋体"/>
          <w:kern w:val="0"/>
          <w:szCs w:val="21"/>
        </w:rPr>
        <w:t>-------------------------------------------------------------------------------</w:t>
      </w:r>
    </w:p>
    <w:p w:rsidR="00640A31" w:rsidRDefault="00640A31" w:rsidP="00640A31">
      <w:pPr>
        <w:widowControl/>
        <w:ind w:leftChars="100" w:left="210"/>
        <w:jc w:val="left"/>
        <w:rPr>
          <w:rFonts w:ascii="宋体" w:hAnsi="宋体" w:cs="宋体"/>
          <w:kern w:val="0"/>
          <w:sz w:val="24"/>
          <w:szCs w:val="21"/>
        </w:rPr>
      </w:pPr>
      <w:r w:rsidRPr="004616F2">
        <w:rPr>
          <w:rFonts w:ascii="宋体" w:hAnsi="宋体" w:cs="宋体" w:hint="eastAsia"/>
          <w:kern w:val="0"/>
          <w:sz w:val="24"/>
          <w:szCs w:val="21"/>
        </w:rPr>
        <w:t>附注：[1] 制造业PMI调查涉及生产、流通、采购等环节的13项分类指数，PMI综合指数由生产、新订单、主要原材料库存、从业人员、供应商配送时间5个分类指数加权计算而成。</w:t>
      </w:r>
    </w:p>
    <w:p w:rsidR="00640A31" w:rsidRDefault="00640A31" w:rsidP="00640A31">
      <w:pPr>
        <w:widowControl/>
        <w:ind w:leftChars="100" w:left="210"/>
        <w:jc w:val="left"/>
        <w:rPr>
          <w:rFonts w:ascii="宋体" w:hAnsi="宋体" w:cs="宋体"/>
          <w:kern w:val="0"/>
          <w:sz w:val="24"/>
          <w:szCs w:val="21"/>
        </w:rPr>
      </w:pPr>
    </w:p>
    <w:p w:rsidR="00640A31" w:rsidRDefault="00640A31" w:rsidP="00640A31">
      <w:pPr>
        <w:widowControl/>
        <w:ind w:leftChars="100" w:left="210"/>
        <w:jc w:val="left"/>
        <w:rPr>
          <w:rFonts w:ascii="宋体" w:hAnsi="宋体" w:cs="宋体"/>
          <w:kern w:val="0"/>
          <w:sz w:val="24"/>
          <w:szCs w:val="21"/>
        </w:rPr>
      </w:pPr>
    </w:p>
    <w:p w:rsidR="00640A31" w:rsidRDefault="00640A31" w:rsidP="00640A31">
      <w:pPr>
        <w:widowControl/>
        <w:ind w:leftChars="100" w:left="210"/>
        <w:jc w:val="left"/>
        <w:rPr>
          <w:rFonts w:ascii="宋体" w:hAnsi="宋体" w:cs="宋体"/>
          <w:kern w:val="0"/>
          <w:sz w:val="24"/>
          <w:szCs w:val="21"/>
        </w:rPr>
      </w:pPr>
    </w:p>
    <w:p w:rsidR="00640A31" w:rsidRDefault="00640A31" w:rsidP="00640A31">
      <w:pPr>
        <w:widowControl/>
        <w:ind w:leftChars="100" w:left="210"/>
        <w:jc w:val="left"/>
        <w:rPr>
          <w:rFonts w:ascii="宋体" w:hAnsi="宋体" w:cs="宋体" w:hint="eastAsia"/>
          <w:kern w:val="0"/>
          <w:sz w:val="24"/>
          <w:szCs w:val="21"/>
        </w:rPr>
      </w:pPr>
    </w:p>
    <w:p w:rsidR="00640A31" w:rsidRDefault="00640A31" w:rsidP="00640A31">
      <w:pPr>
        <w:widowControl/>
        <w:ind w:leftChars="100" w:left="210"/>
        <w:jc w:val="left"/>
        <w:rPr>
          <w:rFonts w:ascii="宋体" w:hAnsi="宋体" w:cs="宋体"/>
          <w:kern w:val="0"/>
          <w:sz w:val="24"/>
          <w:szCs w:val="21"/>
        </w:rPr>
      </w:pPr>
      <w:r>
        <w:rPr>
          <w:rFonts w:ascii="宋体" w:hAnsi="宋体" w:cs="宋体" w:hint="eastAsia"/>
          <w:kern w:val="0"/>
          <w:sz w:val="24"/>
          <w:szCs w:val="21"/>
        </w:rPr>
        <w:t>附件1：阿速度撒旦萨大苏打</w:t>
      </w:r>
    </w:p>
    <w:p w:rsidR="00640A31" w:rsidRDefault="00640A31" w:rsidP="00640A31">
      <w:pPr>
        <w:widowControl/>
        <w:ind w:leftChars="100" w:left="210"/>
        <w:jc w:val="left"/>
        <w:rPr>
          <w:rFonts w:ascii="宋体" w:hAnsi="宋体" w:cs="宋体" w:hint="eastAsia"/>
          <w:kern w:val="0"/>
          <w:sz w:val="24"/>
          <w:szCs w:val="21"/>
        </w:rPr>
      </w:pPr>
      <w:r>
        <w:rPr>
          <w:rFonts w:ascii="宋体" w:hAnsi="宋体" w:cs="宋体" w:hint="eastAsia"/>
          <w:kern w:val="0"/>
          <w:sz w:val="24"/>
          <w:szCs w:val="21"/>
        </w:rPr>
        <w:t>附件2：阿苏大苏打啊啊啊</w:t>
      </w:r>
    </w:p>
    <w:p w:rsidR="00640A31" w:rsidRPr="002A35AC" w:rsidRDefault="00640A31" w:rsidP="00640A31">
      <w:pPr>
        <w:widowControl/>
        <w:ind w:leftChars="100" w:left="210" w:rightChars="400" w:right="840"/>
        <w:jc w:val="right"/>
        <w:rPr>
          <w:rFonts w:ascii="宋体" w:hAnsi="宋体" w:cs="宋体"/>
          <w:kern w:val="0"/>
          <w:sz w:val="24"/>
          <w:szCs w:val="21"/>
        </w:rPr>
      </w:pPr>
      <w:r w:rsidRPr="002A35AC">
        <w:rPr>
          <w:rFonts w:ascii="宋体" w:hAnsi="宋体" w:cs="宋体" w:hint="eastAsia"/>
          <w:kern w:val="0"/>
          <w:sz w:val="24"/>
          <w:szCs w:val="21"/>
        </w:rPr>
        <w:t>国家统计局</w:t>
      </w:r>
      <w:r w:rsidRPr="002A35AC">
        <w:rPr>
          <w:rFonts w:ascii="宋体" w:hAnsi="宋体" w:cs="宋体"/>
          <w:kern w:val="0"/>
          <w:sz w:val="24"/>
          <w:szCs w:val="21"/>
        </w:rPr>
        <w:t>青岛调查队</w:t>
      </w:r>
    </w:p>
    <w:p w:rsidR="00640A31" w:rsidRDefault="00640A31" w:rsidP="00640A31">
      <w:pPr>
        <w:widowControl/>
        <w:ind w:leftChars="100" w:left="210" w:rightChars="400" w:right="840"/>
        <w:jc w:val="right"/>
        <w:rPr>
          <w:rFonts w:ascii="宋体" w:hAnsi="宋体" w:cs="宋体"/>
          <w:kern w:val="0"/>
          <w:sz w:val="24"/>
          <w:szCs w:val="21"/>
        </w:rPr>
      </w:pPr>
      <w:r w:rsidRPr="002A35AC">
        <w:rPr>
          <w:rFonts w:ascii="宋体" w:hAnsi="宋体" w:cs="宋体" w:hint="eastAsia"/>
          <w:kern w:val="0"/>
          <w:sz w:val="24"/>
          <w:szCs w:val="21"/>
        </w:rPr>
        <w:t>2017年11月2日</w:t>
      </w:r>
    </w:p>
    <w:p w:rsidR="00640A31" w:rsidRPr="00992074" w:rsidRDefault="00640A31" w:rsidP="00640A31">
      <w:pPr>
        <w:ind w:leftChars="100" w:left="210"/>
      </w:pPr>
    </w:p>
    <w:p w:rsidR="00640A31" w:rsidRPr="002C4B18" w:rsidRDefault="00640A31" w:rsidP="00640A31">
      <w:pPr>
        <w:ind w:leftChars="100" w:left="210"/>
        <w:rPr>
          <w:rFonts w:hint="eastAsia"/>
        </w:rPr>
      </w:pPr>
      <w:r w:rsidRPr="002C4B18">
        <w:rPr>
          <w:rFonts w:hint="eastAsia"/>
        </w:rPr>
        <w:t>附件</w:t>
      </w:r>
    </w:p>
    <w:p w:rsidR="00640A31" w:rsidRPr="002C4B18" w:rsidRDefault="00640A31" w:rsidP="00640A31">
      <w:pPr>
        <w:ind w:leftChars="100" w:left="210"/>
      </w:pPr>
      <w:r w:rsidRPr="002C4B18">
        <w:rPr>
          <w:rFonts w:hint="eastAsia"/>
        </w:rPr>
        <w:t>2017</w:t>
      </w:r>
      <w:r w:rsidRPr="002C4B18">
        <w:rPr>
          <w:rFonts w:hint="eastAsia"/>
        </w:rPr>
        <w:t>年党支部工作总结</w:t>
      </w:r>
    </w:p>
    <w:p w:rsidR="00640A31" w:rsidRPr="002C4B18" w:rsidRDefault="00640A31" w:rsidP="00640A31">
      <w:pPr>
        <w:ind w:leftChars="100" w:left="210"/>
      </w:pPr>
    </w:p>
    <w:p w:rsidR="00640A31" w:rsidRPr="002C4B18" w:rsidRDefault="00640A31" w:rsidP="00640A31">
      <w:pPr>
        <w:ind w:leftChars="100" w:left="210"/>
      </w:pPr>
      <w:r w:rsidRPr="002C4B18">
        <w:rPr>
          <w:rFonts w:hint="eastAsia"/>
        </w:rPr>
        <w:t>一、努力加强支部建设</w:t>
      </w:r>
    </w:p>
    <w:p w:rsidR="00640A31" w:rsidRPr="002C4B18" w:rsidRDefault="00640A31" w:rsidP="00640A31">
      <w:pPr>
        <w:ind w:leftChars="100" w:left="210"/>
      </w:pPr>
      <w:r w:rsidRPr="002C4B18">
        <w:rPr>
          <w:rFonts w:hint="eastAsia"/>
        </w:rPr>
        <w:t>按照队党组和机关党委的统一部署和要求，办公室党支部认真贯彻党的十九大、十九届一中全会精神，以深入推进支部“两学一做”学习教育常态化制度化为契机，认真做好党支部建设工作。</w:t>
      </w:r>
    </w:p>
    <w:p w:rsidR="00640A31" w:rsidRPr="002C4B18" w:rsidRDefault="00640A31" w:rsidP="00640A31">
      <w:pPr>
        <w:ind w:leftChars="100" w:left="210"/>
      </w:pPr>
      <w:r w:rsidRPr="002C4B18">
        <w:rPr>
          <w:rFonts w:hint="eastAsia"/>
        </w:rPr>
        <w:t>党支部严格按照“一岗双责”制度要求，落实好党建工作责任制，定期召开支委会和组织生活会，努力提升支部建设、监督履职尽责的能力，全面落实好主体责任、监督责任、领导责任。</w:t>
      </w:r>
    </w:p>
    <w:p w:rsidR="00640A31" w:rsidRPr="002C4B18" w:rsidRDefault="00640A31" w:rsidP="00640A31">
      <w:pPr>
        <w:ind w:leftChars="100" w:left="210"/>
      </w:pPr>
      <w:r w:rsidRPr="002C4B18">
        <w:rPr>
          <w:rFonts w:hint="eastAsia"/>
        </w:rPr>
        <w:t>党支部认真落实学习教育制度，定期召开“三会一课”、组织生活会，能够做到每月召开一次支委会，每周坚持支部全体党员集中学习，坚持支部书记坚持同党员谈心制度，坚持支部学习、活动有记录，要求每名党员认真做好学习笔记本。</w:t>
      </w:r>
    </w:p>
    <w:p w:rsidR="00640A31" w:rsidRPr="002C4B18" w:rsidRDefault="00640A31" w:rsidP="00640A31">
      <w:pPr>
        <w:ind w:leftChars="100" w:left="210"/>
      </w:pPr>
      <w:r w:rsidRPr="002C4B18">
        <w:rPr>
          <w:rFonts w:hint="eastAsia"/>
        </w:rPr>
        <w:t>二、积极开展支部活动</w:t>
      </w:r>
    </w:p>
    <w:p w:rsidR="00640A31" w:rsidRPr="002C4B18" w:rsidRDefault="00640A31" w:rsidP="00640A31">
      <w:pPr>
        <w:ind w:leftChars="100" w:left="210"/>
        <w:rPr>
          <w:rFonts w:hint="eastAsia"/>
        </w:rPr>
      </w:pPr>
      <w:r w:rsidRPr="002C4B18">
        <w:rPr>
          <w:rFonts w:hint="eastAsia"/>
        </w:rPr>
        <w:t>按照队党组的统一部署和要求，制定支部</w:t>
      </w:r>
      <w:r w:rsidRPr="002C4B18">
        <w:rPr>
          <w:rFonts w:hint="eastAsia"/>
        </w:rPr>
        <w:t xml:space="preserve"> </w:t>
      </w:r>
      <w:r w:rsidRPr="002C4B18">
        <w:rPr>
          <w:rFonts w:hint="eastAsia"/>
        </w:rPr>
        <w:t>“两学一做”学习教育常态化制度化实施方案，按照方案要求认真开展学习，为支部党员筑牢了思想基础。认真学习习近平总书记最新重要讲话和十九大精神等，积极参加全队专题辅导讲座，积极开展支部讨论，做到规定的学习内容不遗不漏。坚持把推进学习教育同做好各项日常管理和调查业务工作结合起来，做到学习教育与中心工作两手抓、两手硬、两促进。</w:t>
      </w:r>
    </w:p>
    <w:p w:rsidR="00640A31" w:rsidRPr="002C4B18" w:rsidRDefault="00640A31" w:rsidP="00640A31">
      <w:pPr>
        <w:ind w:leftChars="100" w:left="210"/>
        <w:rPr>
          <w:rFonts w:hint="eastAsia"/>
        </w:rPr>
      </w:pPr>
      <w:r w:rsidRPr="002C4B18">
        <w:rPr>
          <w:rFonts w:hint="eastAsia"/>
        </w:rPr>
        <w:t>支部积极组织党员干部积极参加全队组织的政德教育、“重温红色历史”爱国主义现场教育、“身边人讲身边事”、微党课评选、品牌征集、道德讲堂等活动，同时，认真坚持主题党日制度，每月开展主题明确、形式多样的主题党日活动。</w:t>
      </w:r>
      <w:bookmarkStart w:id="0" w:name="OLE_LINK1"/>
    </w:p>
    <w:p w:rsidR="00640A31" w:rsidRPr="002C4B18" w:rsidRDefault="00640A31" w:rsidP="00640A31">
      <w:pPr>
        <w:ind w:leftChars="100" w:left="210"/>
      </w:pPr>
      <w:r w:rsidRPr="002C4B18">
        <w:rPr>
          <w:rFonts w:hint="eastAsia"/>
        </w:rPr>
        <w:t>6</w:t>
      </w:r>
      <w:r w:rsidRPr="002C4B18">
        <w:rPr>
          <w:rFonts w:hint="eastAsia"/>
        </w:rPr>
        <w:t>月</w:t>
      </w:r>
      <w:r w:rsidRPr="002C4B18">
        <w:rPr>
          <w:rFonts w:hint="eastAsia"/>
        </w:rPr>
        <w:t>27</w:t>
      </w:r>
      <w:r w:rsidRPr="002C4B18">
        <w:rPr>
          <w:rFonts w:hint="eastAsia"/>
        </w:rPr>
        <w:t>日，为迎接中国共产党建党</w:t>
      </w:r>
      <w:r w:rsidRPr="002C4B18">
        <w:rPr>
          <w:rFonts w:hint="eastAsia"/>
        </w:rPr>
        <w:t>96</w:t>
      </w:r>
      <w:r w:rsidRPr="002C4B18">
        <w:rPr>
          <w:rFonts w:hint="eastAsia"/>
        </w:rPr>
        <w:t>周年，进一步激发基层党组织和党员的活力，办公室、</w:t>
      </w:r>
      <w:r w:rsidRPr="002C4B18">
        <w:rPr>
          <w:rFonts w:hint="eastAsia"/>
        </w:rPr>
        <w:lastRenderedPageBreak/>
        <w:t>农村处、住户处三个党支部于联合开展了七一党员主题日活动，党组书记、队长纪中锐和党组成员、副队长张茂海以普通党员身份参与此次活动，活动期间全体党员缴纳了一次特殊党费用于慰问老党员。</w:t>
      </w:r>
      <w:bookmarkEnd w:id="0"/>
      <w:r w:rsidRPr="002C4B18">
        <w:rPr>
          <w:rFonts w:hint="eastAsia"/>
        </w:rPr>
        <w:t>活动首先到达了北汽青岛电动汽车制造厂和国轩电池有限公司，参观新型制造业；随后到达姜山镇胶东农村第一党支部——前保驾山党支部旧址，现场瞻仰先烈留下的实物，聆听革命前辈的伟大事迹以及重温入党誓词，既了解了党支部成立的具体过程及重大意义，也受到了思想洗礼；走访慰问了西李权庄村老党员，为他们送去了生活用品和慰问金；接下来参观了莱西市一、二、三产业融合发展典型企业，了解到在产业互动的模型下，为农村居民增收添加了新门路；活动的最后参观了夏格庄镇渭田抗日阻击战纪念馆，接受革命传统教育，增强了党员的责任感和使命感。</w:t>
      </w:r>
    </w:p>
    <w:p w:rsidR="00640A31" w:rsidRPr="002C4B18" w:rsidRDefault="00640A31" w:rsidP="00640A31">
      <w:pPr>
        <w:ind w:leftChars="100" w:left="210"/>
      </w:pPr>
      <w:r w:rsidRPr="002C4B18">
        <w:rPr>
          <w:rFonts w:hint="eastAsia"/>
        </w:rPr>
        <w:t>10</w:t>
      </w:r>
      <w:r w:rsidRPr="002C4B18">
        <w:rPr>
          <w:rFonts w:hint="eastAsia"/>
        </w:rPr>
        <w:t>月</w:t>
      </w:r>
      <w:r w:rsidRPr="002C4B18">
        <w:rPr>
          <w:rFonts w:hint="eastAsia"/>
        </w:rPr>
        <w:t>26</w:t>
      </w:r>
      <w:r w:rsidRPr="002C4B18">
        <w:rPr>
          <w:rFonts w:hint="eastAsia"/>
        </w:rPr>
        <w:t>日，支部开展了“学习十九大精神</w:t>
      </w:r>
      <w:r w:rsidRPr="002C4B18">
        <w:rPr>
          <w:rFonts w:hint="eastAsia"/>
        </w:rPr>
        <w:t xml:space="preserve"> </w:t>
      </w:r>
      <w:r w:rsidRPr="002C4B18">
        <w:rPr>
          <w:rFonts w:hint="eastAsia"/>
        </w:rPr>
        <w:t>更加努力做好统计工作”主题党日活动，通过认真学习十九大报告和党章，召开组织生活会，支部全体党员认识到把认真学习、全面贯彻党的十九大精神作为当前和今后一个时期首要的政治任务，自觉把思想行动统一到党的十九大精神上来，把工作和力量凝聚到落实党的十九大提出的各项任务上来。</w:t>
      </w:r>
    </w:p>
    <w:p w:rsidR="00640A31" w:rsidRPr="002C4B18" w:rsidRDefault="00640A31" w:rsidP="00640A31">
      <w:pPr>
        <w:ind w:leftChars="100" w:left="210"/>
      </w:pPr>
      <w:r w:rsidRPr="002C4B18">
        <w:rPr>
          <w:rFonts w:hint="eastAsia"/>
        </w:rPr>
        <w:t>三、全面落实党风廉政建设责任制</w:t>
      </w:r>
    </w:p>
    <w:p w:rsidR="00640A31" w:rsidRPr="002C4B18" w:rsidRDefault="00640A31" w:rsidP="00640A31">
      <w:pPr>
        <w:ind w:leftChars="100" w:left="210"/>
        <w:rPr>
          <w:rFonts w:hint="eastAsia"/>
        </w:rPr>
      </w:pPr>
      <w:r w:rsidRPr="002C4B18">
        <w:rPr>
          <w:rFonts w:hint="eastAsia"/>
        </w:rPr>
        <w:t>（一）严明党的政治纪律和政治规矩，持续深入改进作风。在思想上、政治上、行动上同党中央保持高度一致，政治立场坚定，旗帜鲜明，不折不扣地执行中央和国家局、总队、队党组的决策部署，做到令行禁止。认真学习贯彻中央八项规定和国家局、总队及青岛队有关文件，进一步加强调查研究，改变工作作风，服务全队中心工作、保障全队中心工作。</w:t>
      </w:r>
    </w:p>
    <w:p w:rsidR="00640A31" w:rsidRPr="002C4B18" w:rsidRDefault="00640A31" w:rsidP="00640A31">
      <w:pPr>
        <w:ind w:leftChars="100" w:left="210"/>
        <w:rPr>
          <w:rFonts w:hint="eastAsia"/>
        </w:rPr>
      </w:pPr>
      <w:r w:rsidRPr="002C4B18">
        <w:rPr>
          <w:rFonts w:hint="eastAsia"/>
        </w:rPr>
        <w:t>（二）认真落实党风廉政建设责任制。认真贯彻省市纪委、山东调查总队和青岛队关于党风廉政建设的各项部署，按照《国家统计局山东调查队系统党风廉政建设责任制实施办法》的要求，认真做好支部党风廉政建设工作。一是认真落实党风廉政建设主体责任，履行好落实、推进、教育、监督和管理责任。支部书记经常听取支部党员干部思想、作风、廉洁自律等方面的汇报，开展谈心活动，督查党员干部自觉遵守党风廉政建设各项制度和纪律。每名党员都签订了党员廉政承诺书。二是坚决落实从严治党依规治党要求，强化纪律和规矩意识，引导支部党员干部学纪律、知纪律、守纪律，打造和维护廉洁。三是认真组织开展支部廉政理论学习，强化党员干部廉政教育，积极组织支部党员观看廉政纪录片、参观革命烈士纪念馆。四是深入学习贯彻习近平等中央领导同志关于统计工作的重要讲话和指示批示精神，充分认识统计工作和数据质量的重要性，充分认识统计造假、弄虚作假的危害性，为组织查找专业风险点献计献策，从源头上遏制数字失真，把好数据质量关。</w:t>
      </w:r>
    </w:p>
    <w:p w:rsidR="00640A31" w:rsidRPr="002C4B18" w:rsidRDefault="00640A31" w:rsidP="00640A31">
      <w:pPr>
        <w:ind w:leftChars="100" w:left="210"/>
        <w:rPr>
          <w:rFonts w:hint="eastAsia"/>
        </w:rPr>
      </w:pPr>
      <w:r w:rsidRPr="002C4B18">
        <w:rPr>
          <w:rFonts w:hint="eastAsia"/>
        </w:rPr>
        <w:t>四、支部工作下一步打算</w:t>
      </w:r>
    </w:p>
    <w:p w:rsidR="00640A31" w:rsidRPr="002C4B18" w:rsidRDefault="00640A31" w:rsidP="00640A31">
      <w:pPr>
        <w:ind w:leftChars="100" w:left="210"/>
      </w:pPr>
      <w:r w:rsidRPr="002C4B18">
        <w:rPr>
          <w:rFonts w:hint="eastAsia"/>
        </w:rPr>
        <w:t>一是自觉把思想行动统一到党的十九大精神上来，深刻领会、切实把握这次大会的重大意义，原原本本学习十九大报告和党章，全面准确学习领会党的十九大精神。通过学习十九大精神为引领，进一步加强政治理论学习，抓好理论武装，提高支部党员理论水平。二是抓好党支部组织建设、制度建设，</w:t>
      </w:r>
      <w:r w:rsidRPr="002C4B18">
        <w:t>党建工作永远在路上，</w:t>
      </w:r>
      <w:r w:rsidRPr="002C4B18">
        <w:rPr>
          <w:rFonts w:hint="eastAsia"/>
        </w:rPr>
        <w:t>要进一步强化制度观念，认真履行党支部的管理职能，落实监督责任制、党风廉政建设责任制，严格执行党内生活制度、权力监督制度，进一步加强党务知识学习，提高支委会自身素质和能力。三是做好支部党建创新工作。通过探索党建工作的新载体、新方法、新形式，打造支部党建特色品牌，突出新成效，使党建工作更加适应形势发展、更加贴近工作实际，增强机关党建的吸引力和实效性。</w:t>
      </w:r>
    </w:p>
    <w:p w:rsidR="00640A31" w:rsidRPr="002C4B18" w:rsidRDefault="00640A31" w:rsidP="00640A31"/>
    <w:p w:rsidR="00640A31" w:rsidRPr="002C4B18" w:rsidRDefault="00640A31" w:rsidP="00640A31"/>
    <w:p w:rsidR="00640A31" w:rsidRPr="0008530E" w:rsidRDefault="00640A31" w:rsidP="00640A31">
      <w:pPr>
        <w:rPr>
          <w:rFonts w:hint="eastAsia"/>
        </w:rPr>
      </w:pPr>
    </w:p>
    <w:p w:rsidR="0093475F" w:rsidRPr="00640A31" w:rsidRDefault="0093475F" w:rsidP="00640A31">
      <w:bookmarkStart w:id="1" w:name="_GoBack"/>
      <w:bookmarkEnd w:id="1"/>
    </w:p>
    <w:sectPr w:rsidR="0093475F" w:rsidRPr="00640A31" w:rsidSect="00AD1F9C">
      <w:footerReference w:type="even" r:id="rId12"/>
      <w:footerReference w:type="default" r:id="rId13"/>
      <w:pgSz w:w="11906" w:h="16838"/>
      <w:pgMar w:top="1440" w:right="1531" w:bottom="1440" w:left="1531" w:header="850" w:footer="992" w:gutter="0"/>
      <w:pgBorders>
        <w:top w:val="none" w:sz="0" w:space="1" w:color="auto"/>
        <w:left w:val="none" w:sz="0" w:space="4" w:color="auto"/>
        <w:bottom w:val="none" w:sz="0" w:space="1" w:color="auto"/>
        <w:right w:val="none" w:sz="0" w:space="4" w:color="auto"/>
      </w:pgBorders>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5C9" w:rsidRDefault="000625C9" w:rsidP="00881B8B">
      <w:r>
        <w:separator/>
      </w:r>
    </w:p>
  </w:endnote>
  <w:endnote w:type="continuationSeparator" w:id="0">
    <w:p w:rsidR="000625C9" w:rsidRDefault="000625C9" w:rsidP="0088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方正小标宋_GBK">
    <w:altName w:val="Arial Unicode MS"/>
    <w:charset w:val="86"/>
    <w:family w:val="script"/>
    <w:pitch w:val="fixed"/>
    <w:sig w:usb0="00000000"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方正黑体_GBK">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68C" w:rsidRDefault="00F96E30" w:rsidP="00AD1F9C">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end"/>
    </w:r>
  </w:p>
  <w:p w:rsidR="004C468C" w:rsidRDefault="000625C9" w:rsidP="004C468C">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68C" w:rsidRDefault="00F96E30" w:rsidP="00AD1F9C">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640A31">
      <w:rPr>
        <w:rStyle w:val="a6"/>
        <w:noProof/>
      </w:rPr>
      <w:t>- 6 -</w:t>
    </w:r>
    <w:r>
      <w:rPr>
        <w:rStyle w:val="a6"/>
      </w:rPr>
      <w:fldChar w:fldCharType="end"/>
    </w:r>
  </w:p>
  <w:p w:rsidR="00AB7481" w:rsidRDefault="000625C9" w:rsidP="004C468C">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5C9" w:rsidRDefault="000625C9" w:rsidP="00881B8B">
      <w:r>
        <w:separator/>
      </w:r>
    </w:p>
  </w:footnote>
  <w:footnote w:type="continuationSeparator" w:id="0">
    <w:p w:rsidR="000625C9" w:rsidRDefault="000625C9" w:rsidP="00881B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0B"/>
    <w:rsid w:val="000625C9"/>
    <w:rsid w:val="001475A8"/>
    <w:rsid w:val="00297E5B"/>
    <w:rsid w:val="002A35AC"/>
    <w:rsid w:val="004B2EF2"/>
    <w:rsid w:val="004C3A0B"/>
    <w:rsid w:val="00507AA9"/>
    <w:rsid w:val="00640A31"/>
    <w:rsid w:val="006817C6"/>
    <w:rsid w:val="00765C9E"/>
    <w:rsid w:val="00881B8B"/>
    <w:rsid w:val="00885292"/>
    <w:rsid w:val="0093475F"/>
    <w:rsid w:val="00935ADB"/>
    <w:rsid w:val="009A4562"/>
    <w:rsid w:val="00B8380B"/>
    <w:rsid w:val="00C209B3"/>
    <w:rsid w:val="00E1071F"/>
    <w:rsid w:val="00F31823"/>
    <w:rsid w:val="00F96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B92C2-AF0D-472A-A5DF-EFA66A8B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A0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B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B8B"/>
    <w:rPr>
      <w:rFonts w:ascii="Times New Roman" w:eastAsia="宋体" w:hAnsi="Times New Roman" w:cs="Times New Roman"/>
      <w:sz w:val="18"/>
      <w:szCs w:val="18"/>
    </w:rPr>
  </w:style>
  <w:style w:type="paragraph" w:styleId="a4">
    <w:name w:val="footer"/>
    <w:basedOn w:val="a"/>
    <w:link w:val="Char0"/>
    <w:uiPriority w:val="99"/>
    <w:unhideWhenUsed/>
    <w:rsid w:val="00881B8B"/>
    <w:pPr>
      <w:tabs>
        <w:tab w:val="center" w:pos="4153"/>
        <w:tab w:val="right" w:pos="8306"/>
      </w:tabs>
      <w:snapToGrid w:val="0"/>
      <w:jc w:val="left"/>
    </w:pPr>
    <w:rPr>
      <w:sz w:val="18"/>
      <w:szCs w:val="18"/>
    </w:rPr>
  </w:style>
  <w:style w:type="character" w:customStyle="1" w:styleId="Char0">
    <w:name w:val="页脚 Char"/>
    <w:basedOn w:val="a0"/>
    <w:link w:val="a4"/>
    <w:uiPriority w:val="99"/>
    <w:rsid w:val="00881B8B"/>
    <w:rPr>
      <w:rFonts w:ascii="Times New Roman" w:eastAsia="宋体" w:hAnsi="Times New Roman" w:cs="Times New Roman"/>
      <w:sz w:val="18"/>
      <w:szCs w:val="18"/>
    </w:rPr>
  </w:style>
  <w:style w:type="paragraph" w:styleId="a5">
    <w:name w:val="Date"/>
    <w:basedOn w:val="a"/>
    <w:next w:val="a"/>
    <w:link w:val="Char1"/>
    <w:uiPriority w:val="99"/>
    <w:semiHidden/>
    <w:unhideWhenUsed/>
    <w:rsid w:val="001475A8"/>
    <w:pPr>
      <w:ind w:leftChars="2500" w:left="100"/>
    </w:pPr>
  </w:style>
  <w:style w:type="character" w:customStyle="1" w:styleId="Char1">
    <w:name w:val="日期 Char"/>
    <w:basedOn w:val="a0"/>
    <w:link w:val="a5"/>
    <w:uiPriority w:val="99"/>
    <w:semiHidden/>
    <w:rsid w:val="001475A8"/>
    <w:rPr>
      <w:rFonts w:ascii="Times New Roman" w:eastAsia="宋体" w:hAnsi="Times New Roman" w:cs="Times New Roman"/>
      <w:szCs w:val="20"/>
    </w:rPr>
  </w:style>
  <w:style w:type="character" w:styleId="a6">
    <w:name w:val="page number"/>
    <w:basedOn w:val="a0"/>
    <w:uiPriority w:val="99"/>
    <w:unhideWhenUsed/>
    <w:rsid w:val="0068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http://10.6.132.108:8080/webpic/W0201509/W020150911/W020150911593776423427.gi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10.6.132.108:8080/webpic/W0201509/W020150911/W020150911593776427063.jp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http://10.6.132.108:8080/webpic/W0201509/W020150911/W020150911593776424929.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1196</Words>
  <Characters>6821</Characters>
  <Application>Microsoft Office Word</Application>
  <DocSecurity>0</DocSecurity>
  <Lines>56</Lines>
  <Paragraphs>16</Paragraphs>
  <ScaleCrop>false</ScaleCrop>
  <Company>China</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2018-05-18T12:47:00Z</dcterms:created>
  <dcterms:modified xsi:type="dcterms:W3CDTF">2018-05-20T12:23:00Z</dcterms:modified>
</cp:coreProperties>
</file>