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05" w:rsidRDefault="00AA4E05" w:rsidP="00AA4E05">
      <w:pPr>
        <w:jc w:val="center"/>
        <w:rPr>
          <w:rFonts w:hint="eastAsia"/>
        </w:rPr>
      </w:pPr>
      <w:r>
        <w:rPr>
          <w:rFonts w:ascii="楷体_GB2312" w:eastAsia="楷体_GB2312" w:hint="eastAsia"/>
          <w:sz w:val="32"/>
          <w:szCs w:val="32"/>
        </w:rPr>
        <w:t xml:space="preserve">                                    </w:t>
      </w:r>
    </w:p>
    <w:p w:rsidR="00AA4E05" w:rsidRPr="00AA4E05" w:rsidRDefault="00AA4E05" w:rsidP="00AA4E05">
      <w:pPr>
        <w:spacing w:beforeLines="100" w:before="312" w:line="660" w:lineRule="exact"/>
        <w:jc w:val="center"/>
        <w:rPr>
          <w:rFonts w:ascii="方正小标宋_GBK" w:eastAsia="方正小标宋_GBK" w:hAnsi="黑体"/>
          <w:spacing w:val="6"/>
          <w:sz w:val="32"/>
          <w:szCs w:val="32"/>
        </w:rPr>
      </w:pPr>
      <w:bookmarkStart w:id="0" w:name="标题"/>
      <w:bookmarkEnd w:id="0"/>
      <w:r w:rsidRPr="00AA4E05">
        <w:rPr>
          <w:rFonts w:ascii="方正小标宋_GBK" w:eastAsia="方正小标宋_GBK" w:hAnsi="黑体" w:hint="eastAsia"/>
          <w:spacing w:val="6"/>
          <w:sz w:val="32"/>
          <w:szCs w:val="32"/>
        </w:rPr>
        <w:t>一季度青岛工业生产者价格进出平衡</w:t>
      </w:r>
    </w:p>
    <w:p w:rsidR="00AA4E05" w:rsidRPr="00AA4E05" w:rsidRDefault="00AA4E05" w:rsidP="00AA4E05">
      <w:pPr>
        <w:spacing w:line="560" w:lineRule="exact"/>
        <w:jc w:val="left"/>
        <w:rPr>
          <w:rFonts w:ascii="方正小标宋_GBK" w:eastAsia="方正小标宋_GBK" w:hAnsi="宋体" w:hint="eastAsia"/>
          <w:b/>
          <w:sz w:val="28"/>
          <w:szCs w:val="28"/>
        </w:rPr>
      </w:pPr>
      <w:bookmarkStart w:id="1" w:name="内容"/>
      <w:bookmarkEnd w:id="1"/>
      <w:r>
        <w:rPr>
          <w:rFonts w:ascii="方正小标宋_GBK" w:eastAsia="方正小标宋_GBK" w:hAnsi="宋体" w:hint="eastAsia"/>
          <w:b/>
          <w:sz w:val="44"/>
          <w:szCs w:val="44"/>
        </w:rPr>
        <w:t xml:space="preserve">    </w:t>
      </w:r>
      <w:r w:rsidRPr="00AA4E05">
        <w:rPr>
          <w:rFonts w:ascii="方正小标宋_GBK" w:eastAsia="方正小标宋_GBK" w:hAnsi="宋体" w:hint="eastAsia"/>
          <w:sz w:val="28"/>
          <w:szCs w:val="28"/>
        </w:rPr>
        <w:t>2018年</w:t>
      </w:r>
      <w:r w:rsidRPr="00AA4E05">
        <w:rPr>
          <w:rFonts w:ascii="方正小标宋_GBK" w:eastAsia="方正小标宋_GBK" w:hint="eastAsia"/>
          <w:sz w:val="28"/>
          <w:szCs w:val="28"/>
        </w:rPr>
        <w:t>一季度，青岛工业生产者出厂价格指数(以下简称PPI)同比上涨4.8%，比去年四季度5.4%的涨幅回落0.6个百分点；工业生产者购进价格指数(以下简称IPI)同比上涨4.3%，比去年四季度8.6%的涨幅回落4.3个百分点。PPI高出IPI0.5个百分点，改变了青岛工业生产者价格长期“进出倒挂”现象，呈现出进出平衡的良好发展态势。</w:t>
      </w:r>
    </w:p>
    <w:p w:rsidR="00AA4E05" w:rsidRDefault="00AA4E05" w:rsidP="00AA4E05">
      <w:pPr>
        <w:spacing w:line="56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</w:t>
      </w:r>
      <w:r>
        <w:rPr>
          <w:rFonts w:ascii="黑体" w:eastAsia="黑体" w:hAnsi="黑体" w:hint="eastAsia"/>
          <w:sz w:val="32"/>
          <w:szCs w:val="32"/>
        </w:rPr>
        <w:t>一、工业生产者价格运行特点</w:t>
      </w:r>
    </w:p>
    <w:p w:rsidR="00AA4E05" w:rsidRPr="00AA4E05" w:rsidRDefault="00AA4E05" w:rsidP="00AA4E05">
      <w:pPr>
        <w:spacing w:line="56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</w:t>
      </w:r>
      <w:r w:rsidRPr="00AA4E05">
        <w:rPr>
          <w:rFonts w:ascii="黑体" w:eastAsia="黑体" w:hAnsi="黑体" w:hint="eastAsia"/>
          <w:sz w:val="32"/>
          <w:szCs w:val="32"/>
        </w:rPr>
        <w:t xml:space="preserve"> （一）PPI、IPI同比涨幅逐步收窄。2017年，青岛PPI各月同比指数总体平稳，在小幅波动中趋于上升。IPI各月同比指数先扬后抑，呈明显回落态势。 2018年一季度，PPI、IPI同比涨幅均呈逐步收窄的趋势，PPI各月同比分别上涨5.4%、4.9%、4.2%，IPI各月同比分别上涨6.0%、3.9%、3.0%（见图1）。其中，IPI2月和3月连续两个月涨幅低于PPI，工业生产者进出价格趋于平衡。</w:t>
      </w:r>
    </w:p>
    <w:p w:rsidR="00AA4E05" w:rsidRPr="00AA4E05" w:rsidRDefault="00AA4E05" w:rsidP="00AA4E05">
      <w:pPr>
        <w:spacing w:line="160" w:lineRule="exact"/>
        <w:rPr>
          <w:rFonts w:ascii="黑体" w:eastAsia="黑体" w:hAnsi="黑体" w:hint="eastAsia"/>
          <w:sz w:val="32"/>
          <w:szCs w:val="32"/>
        </w:rPr>
      </w:pPr>
    </w:p>
    <w:p w:rsidR="00AA4E05" w:rsidRDefault="00AA4E05" w:rsidP="00AA4E05">
      <w:pPr>
        <w:rPr>
          <w:rFonts w:ascii="楷体_GB2312" w:eastAsia="楷体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楷体_GB2312" w:eastAsia="楷体_GB2312" w:hint="eastAsia"/>
          <w:sz w:val="32"/>
          <w:szCs w:val="32"/>
        </w:rPr>
        <w:t>图1  2017年以来PPI与IPI月度同比指数走势图</w:t>
      </w:r>
    </w:p>
    <w:p w:rsidR="00AA4E05" w:rsidRDefault="00AA4E05" w:rsidP="00AA4E05">
      <w:pPr>
        <w:rPr>
          <w:rFonts w:ascii="仿宋_GB2312" w:eastAsia="仿宋_GB2312" w:hint="eastAsia"/>
          <w:noProof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lastRenderedPageBreak/>
        <w:drawing>
          <wp:inline distT="0" distB="0" distL="0" distR="0" wp14:anchorId="2F9876A3" wp14:editId="070C0F41">
            <wp:extent cx="5675630" cy="3002915"/>
            <wp:effectExtent l="0" t="0" r="1270" b="6985"/>
            <wp:docPr id="3" name="图表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A4E05" w:rsidRDefault="00AA4E05" w:rsidP="00AA4E05">
      <w:pPr>
        <w:spacing w:line="160" w:lineRule="exact"/>
        <w:rPr>
          <w:rFonts w:ascii="仿宋_GB2312" w:eastAsia="仿宋_GB2312" w:hint="eastAsia"/>
          <w:sz w:val="32"/>
          <w:szCs w:val="32"/>
        </w:rPr>
      </w:pP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</w:t>
      </w:r>
      <w:r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Ansi="楷体" w:hint="eastAsia"/>
          <w:sz w:val="32"/>
          <w:szCs w:val="32"/>
        </w:rPr>
        <w:t>（二）PPI、IPI环比由涨转跌。</w:t>
      </w:r>
      <w:r>
        <w:rPr>
          <w:rFonts w:ascii="仿宋_GB2312" w:eastAsia="仿宋_GB2312" w:hint="eastAsia"/>
          <w:sz w:val="32"/>
          <w:szCs w:val="32"/>
        </w:rPr>
        <w:t>1-3月份，PPI各月环比涨幅分别为1.1%、0.2%、-0.3%，这是PPI自去年8月以来在连续上涨7个月后，进入今年3月份首次转跌；1-3月份，IPI各月环比涨幅分别为0.8%、0.3%、-0.4%，IPI是自去年7月份持续上涨8个月后首次转跌。(见图2）。</w:t>
      </w:r>
    </w:p>
    <w:p w:rsidR="00AA4E05" w:rsidRDefault="00AA4E05" w:rsidP="00AA4E05">
      <w:pPr>
        <w:rPr>
          <w:rFonts w:ascii="楷体_GB2312" w:eastAsia="楷体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楷体_GB2312" w:eastAsia="楷体_GB2312" w:hint="eastAsia"/>
          <w:sz w:val="32"/>
          <w:szCs w:val="32"/>
        </w:rPr>
        <w:t>图2  2017年以来PPI与IPI月度环比指数走势图</w:t>
      </w:r>
    </w:p>
    <w:p w:rsidR="00AA4E05" w:rsidRDefault="00AA4E05" w:rsidP="00AA4E05">
      <w:pPr>
        <w:rPr>
          <w:rFonts w:ascii="仿宋_GB2312" w:eastAsia="仿宋_GB2312" w:hint="eastAsia"/>
          <w:noProof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 wp14:anchorId="74B1E164" wp14:editId="67209CAE">
            <wp:extent cx="5804535" cy="2740025"/>
            <wp:effectExtent l="0" t="0" r="5715" b="3175"/>
            <wp:docPr id="2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4E05" w:rsidRDefault="00AA4E05" w:rsidP="00AA4E05">
      <w:pPr>
        <w:spacing w:line="240" w:lineRule="exact"/>
        <w:rPr>
          <w:rFonts w:ascii="仿宋_GB2312" w:eastAsia="仿宋_GB2312" w:hint="eastAsia"/>
          <w:noProof/>
          <w:sz w:val="32"/>
          <w:szCs w:val="32"/>
        </w:rPr>
      </w:pP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</w:t>
      </w:r>
      <w:r>
        <w:rPr>
          <w:rFonts w:ascii="楷体" w:eastAsia="楷体" w:hAnsi="楷体" w:hint="eastAsia"/>
          <w:sz w:val="32"/>
          <w:szCs w:val="32"/>
        </w:rPr>
        <w:t>（三）行业产品价格上涨面大。</w:t>
      </w:r>
      <w:r>
        <w:rPr>
          <w:rFonts w:ascii="仿宋_GB2312" w:eastAsia="仿宋_GB2312" w:hint="eastAsia"/>
          <w:sz w:val="32"/>
          <w:szCs w:val="32"/>
        </w:rPr>
        <w:t>近八成行业大类PPI同</w:t>
      </w:r>
      <w:r>
        <w:rPr>
          <w:rFonts w:ascii="仿宋_GB2312" w:eastAsia="仿宋_GB2312" w:hint="eastAsia"/>
          <w:sz w:val="32"/>
          <w:szCs w:val="32"/>
        </w:rPr>
        <w:lastRenderedPageBreak/>
        <w:t>比上涨。在30个大类行业中，一季度PPI有23个行业价格上涨，7个行业价格下降，上涨面为76.7%。IPI九大类价格“七涨两跌”。涨幅位居前三位的分别是，建筑材料及非金属类20.5%，木材及纸浆类上涨12.9%，燃料、动力类上涨9.6%。化工原料类、农副产品类分别下降4.4%、2.3%（见图3）。</w:t>
      </w:r>
    </w:p>
    <w:p w:rsidR="00AA4E05" w:rsidRDefault="00AA4E05" w:rsidP="00AA4E05">
      <w:pPr>
        <w:rPr>
          <w:rFonts w:ascii="楷体_GB2312" w:eastAsia="楷体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　    </w:t>
      </w:r>
      <w:r>
        <w:rPr>
          <w:rFonts w:ascii="楷体_GB2312" w:eastAsia="楷体_GB2312" w:hint="eastAsia"/>
          <w:sz w:val="32"/>
          <w:szCs w:val="32"/>
        </w:rPr>
        <w:t xml:space="preserve"> 图3一季度IPI价格同比涨跌示意图</w:t>
      </w:r>
    </w:p>
    <w:p w:rsidR="00AA4E05" w:rsidRDefault="00AA4E05" w:rsidP="00AA4E05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 wp14:anchorId="6927BA04" wp14:editId="3418207E">
            <wp:extent cx="5670550" cy="2458720"/>
            <wp:effectExtent l="0" t="0" r="6350" b="17780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A4E05" w:rsidRPr="00AA4E05" w:rsidRDefault="00AA4E05" w:rsidP="00AA4E05">
      <w:pPr>
        <w:spacing w:line="560" w:lineRule="exact"/>
        <w:rPr>
          <w:rFonts w:ascii="仿宋_GB2312" w:eastAsia="仿宋_GB2312" w:hint="eastAsia"/>
          <w:sz w:val="44"/>
          <w:szCs w:val="44"/>
        </w:rPr>
      </w:pPr>
      <w:r w:rsidRPr="00AA4E05">
        <w:rPr>
          <w:rFonts w:ascii="楷体" w:eastAsia="楷体" w:hAnsi="楷体" w:hint="eastAsia"/>
          <w:sz w:val="44"/>
          <w:szCs w:val="44"/>
        </w:rPr>
        <w:t>（四）PPI上涨主要来自于生产资料上涨。</w:t>
      </w:r>
      <w:r w:rsidRPr="00AA4E05">
        <w:rPr>
          <w:rFonts w:ascii="仿宋_GB2312" w:eastAsia="仿宋_GB2312" w:hint="eastAsia"/>
          <w:sz w:val="44"/>
          <w:szCs w:val="44"/>
        </w:rPr>
        <w:t>一季度生产资料价格同比上涨7.3%，影响总指数上涨4.8个百分点，其中，原材料类上涨14.4%、加工类上涨5.7%，分别影响总指数上涨1.8个百分点和3.0个百分点;而生活资料价格同比持平，对总指数上涨没有影响，其中，食品类下降1.0%、衣着类下降0.9%、一般日用品类上涨2.0%、耐用消费品类上涨0.2%。</w:t>
      </w:r>
    </w:p>
    <w:p w:rsidR="00AA4E05" w:rsidRDefault="00AA4E05" w:rsidP="00AA4E05">
      <w:pPr>
        <w:rPr>
          <w:rFonts w:ascii="楷体_GB2312" w:eastAsia="楷体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楷体_GB2312" w:eastAsia="楷体_GB2312" w:hint="eastAsia"/>
          <w:sz w:val="32"/>
          <w:szCs w:val="32"/>
        </w:rPr>
        <w:t>表1一季度PPI生产、生活资料价格对总指数影响表</w:t>
      </w:r>
    </w:p>
    <w:tbl>
      <w:tblPr>
        <w:tblW w:w="844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0"/>
        <w:gridCol w:w="2874"/>
        <w:gridCol w:w="2624"/>
      </w:tblGrid>
      <w:tr w:rsidR="00AA4E05" w:rsidTr="00AA4E05">
        <w:trPr>
          <w:trHeight w:val="446"/>
          <w:jc w:val="center"/>
        </w:trPr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hd w:val="clear" w:color="auto" w:fill="FFFFFF"/>
              <w:spacing w:before="100" w:beforeAutospacing="1" w:after="100" w:afterAutospacing="1" w:line="360" w:lineRule="auto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t>分类</w:t>
            </w:r>
          </w:p>
        </w:tc>
        <w:tc>
          <w:tcPr>
            <w:tcW w:w="2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t>同比涨跌幅%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t>对总指数的影响</w:t>
            </w:r>
          </w:p>
        </w:tc>
      </w:tr>
      <w:tr w:rsidR="00AA4E05" w:rsidTr="00AA4E05">
        <w:trPr>
          <w:trHeight w:val="446"/>
          <w:jc w:val="center"/>
        </w:trPr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lastRenderedPageBreak/>
              <w:t>⑴生产资料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7.3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4.8</w:t>
            </w:r>
          </w:p>
        </w:tc>
      </w:tr>
      <w:tr w:rsidR="00AA4E05" w:rsidTr="00AA4E05">
        <w:trPr>
          <w:trHeight w:val="446"/>
          <w:jc w:val="center"/>
        </w:trPr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t xml:space="preserve">  ⒈原材料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14.4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1.8</w:t>
            </w:r>
          </w:p>
        </w:tc>
      </w:tr>
      <w:tr w:rsidR="00AA4E05" w:rsidTr="00AA4E05">
        <w:trPr>
          <w:trHeight w:val="446"/>
          <w:jc w:val="center"/>
        </w:trPr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t xml:space="preserve">  ⒉加工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5.7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3.0</w:t>
            </w:r>
          </w:p>
        </w:tc>
      </w:tr>
      <w:tr w:rsidR="00AA4E05" w:rsidTr="00AA4E05">
        <w:trPr>
          <w:trHeight w:val="446"/>
          <w:jc w:val="center"/>
        </w:trPr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t xml:space="preserve"> ⑵生活资料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rPr>
                <w:rFonts w:ascii="仿宋_GB2312" w:eastAsia="仿宋_GB2312" w:hAnsi="Arial" w:cs="Arial" w:hint="eastAsia"/>
                <w:kern w:val="0"/>
                <w:sz w:val="24"/>
              </w:rPr>
            </w:pPr>
          </w:p>
        </w:tc>
      </w:tr>
      <w:tr w:rsidR="00AA4E05" w:rsidTr="00AA4E05">
        <w:trPr>
          <w:trHeight w:val="446"/>
          <w:jc w:val="center"/>
        </w:trPr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仿宋_GB2312" w:eastAsia="仿宋_GB2312" w:hAnsi="Arial" w:cs="Arial"/>
                <w:kern w:val="0"/>
                <w:sz w:val="24"/>
              </w:rPr>
            </w:pP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t xml:space="preserve">  ⒈食品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-1.0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-0.1</w:t>
            </w:r>
          </w:p>
        </w:tc>
      </w:tr>
      <w:tr w:rsidR="00AA4E05" w:rsidTr="00AA4E05">
        <w:trPr>
          <w:trHeight w:val="446"/>
          <w:jc w:val="center"/>
        </w:trPr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t xml:space="preserve">  ⒉衣着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-0.9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rPr>
                <w:rFonts w:ascii="仿宋_GB2312" w:eastAsia="仿宋_GB2312" w:hAnsi="Arial" w:cs="Arial" w:hint="eastAsia"/>
                <w:kern w:val="0"/>
                <w:sz w:val="24"/>
              </w:rPr>
            </w:pPr>
          </w:p>
        </w:tc>
      </w:tr>
      <w:tr w:rsidR="00AA4E05" w:rsidTr="00AA4E05">
        <w:trPr>
          <w:trHeight w:val="446"/>
          <w:jc w:val="center"/>
        </w:trPr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仿宋_GB2312" w:eastAsia="仿宋_GB2312" w:hAnsi="Arial" w:cs="Arial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 xml:space="preserve">    </w:t>
            </w: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t>⒊一般日用品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2.0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0.1</w:t>
            </w:r>
          </w:p>
        </w:tc>
      </w:tr>
      <w:tr w:rsidR="00AA4E05" w:rsidTr="00AA4E05">
        <w:trPr>
          <w:trHeight w:val="446"/>
          <w:jc w:val="center"/>
        </w:trPr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Arial" w:eastAsia="仿宋_GB2312" w:hAnsi="Arial" w:cs="Arial"/>
                <w:kern w:val="0"/>
                <w:sz w:val="24"/>
              </w:rPr>
              <w:t xml:space="preserve">    </w:t>
            </w:r>
            <w:r>
              <w:rPr>
                <w:rFonts w:ascii="仿宋_GB2312" w:eastAsia="仿宋_GB2312" w:hAnsi="宋体" w:cs="Arial" w:hint="eastAsia"/>
                <w:kern w:val="0"/>
                <w:sz w:val="24"/>
              </w:rPr>
              <w:t>⒋耐用消费品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仿宋_GB2312" w:eastAsia="仿宋_GB2312" w:hAnsi="Arial" w:cs="Arial" w:hint="eastAsia"/>
                <w:kern w:val="0"/>
                <w:sz w:val="24"/>
              </w:rPr>
            </w:pPr>
            <w:r>
              <w:rPr>
                <w:rFonts w:ascii="仿宋_GB2312" w:eastAsia="仿宋_GB2312" w:hAnsi="Arial" w:cs="Arial" w:hint="eastAsia"/>
                <w:kern w:val="0"/>
                <w:sz w:val="24"/>
              </w:rPr>
              <w:t>0.2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4E05" w:rsidRDefault="00AA4E05">
            <w:pPr>
              <w:rPr>
                <w:rFonts w:ascii="仿宋_GB2312" w:eastAsia="仿宋_GB2312" w:hAnsi="Arial" w:cs="Arial" w:hint="eastAsia"/>
                <w:kern w:val="0"/>
                <w:sz w:val="24"/>
              </w:rPr>
            </w:pPr>
          </w:p>
        </w:tc>
      </w:tr>
    </w:tbl>
    <w:p w:rsidR="00AA4E05" w:rsidRDefault="00AA4E05" w:rsidP="00AA4E05">
      <w:pPr>
        <w:spacing w:line="24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</w:t>
      </w:r>
    </w:p>
    <w:p w:rsidR="00AA4E05" w:rsidRDefault="00AA4E05" w:rsidP="00AA4E05">
      <w:pPr>
        <w:spacing w:line="56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    </w:t>
      </w:r>
      <w:r>
        <w:rPr>
          <w:rFonts w:ascii="黑体" w:eastAsia="黑体" w:hAnsi="黑体" w:hint="eastAsia"/>
          <w:sz w:val="32"/>
          <w:szCs w:val="32"/>
        </w:rPr>
        <w:t>二、主要行业产品价格变动情况</w:t>
      </w:r>
    </w:p>
    <w:p w:rsidR="00AA4E05" w:rsidRP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</w:t>
      </w:r>
      <w:r w:rsidRPr="00AA4E05">
        <w:rPr>
          <w:rFonts w:ascii="仿宋_GB2312" w:eastAsia="仿宋_GB2312" w:hint="eastAsia"/>
          <w:sz w:val="32"/>
          <w:szCs w:val="32"/>
        </w:rPr>
        <w:t xml:space="preserve">  </w:t>
      </w:r>
      <w:r w:rsidRPr="00AA4E05">
        <w:rPr>
          <w:rFonts w:ascii="仿宋_GB2312" w:eastAsia="仿宋_GB2312" w:hAnsi="楷体" w:hint="eastAsia"/>
          <w:sz w:val="32"/>
          <w:szCs w:val="32"/>
        </w:rPr>
        <w:t>（一）石油、煤炭及其他燃料价格工业。</w:t>
      </w:r>
      <w:r w:rsidRPr="00AA4E05">
        <w:rPr>
          <w:rFonts w:ascii="仿宋_GB2312" w:eastAsia="仿宋_GB2312" w:hint="eastAsia"/>
          <w:sz w:val="32"/>
          <w:szCs w:val="32"/>
        </w:rPr>
        <w:t>一季度，石油、煤炭及其他燃料加工业同比上涨13.2%。其中，精炼石油产品制造上涨13.2%，煤炭加工上涨7.7%。一季度国际原油价格持续维持在近几年高位，煤炭价格因冬季取暖需求量增加，致使该类价格上涨。</w:t>
      </w:r>
    </w:p>
    <w:p w:rsidR="00AA4E05" w:rsidRP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 w:rsidRPr="00AA4E05">
        <w:rPr>
          <w:rFonts w:ascii="仿宋_GB2312" w:eastAsia="仿宋_GB2312" w:hAnsi="楷体" w:hint="eastAsia"/>
          <w:sz w:val="32"/>
          <w:szCs w:val="32"/>
        </w:rPr>
        <w:t xml:space="preserve">    （二）化学原料和化学制品制造业。</w:t>
      </w:r>
      <w:r w:rsidRPr="00AA4E05">
        <w:rPr>
          <w:rFonts w:ascii="仿宋_GB2312" w:eastAsia="仿宋_GB2312" w:hint="eastAsia"/>
          <w:sz w:val="32"/>
          <w:szCs w:val="32"/>
        </w:rPr>
        <w:t>一季度，化学原料和化学制品制造业上涨23.1%。其中，合成材料制造上涨</w:t>
      </w:r>
      <w:bookmarkStart w:id="2" w:name="_GoBack"/>
      <w:bookmarkEnd w:id="2"/>
      <w:r w:rsidRPr="00AA4E05">
        <w:rPr>
          <w:rFonts w:ascii="仿宋_GB2312" w:eastAsia="仿宋_GB2312" w:hint="eastAsia"/>
          <w:sz w:val="32"/>
          <w:szCs w:val="32"/>
        </w:rPr>
        <w:t>22.3%，专用化学产品制造46.7%。化工行业产品受国际原油价格影响较大，一季度原油价格上涨较多；加上环保严查一些高污染、高能耗的小企业逐步退出市场，化工行业产品价格持续上涨。</w:t>
      </w: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 w:rsidRPr="00AA4E05">
        <w:rPr>
          <w:rFonts w:ascii="仿宋_GB2312" w:eastAsia="仿宋_GB2312" w:hint="eastAsia"/>
          <w:sz w:val="32"/>
          <w:szCs w:val="32"/>
        </w:rPr>
        <w:t xml:space="preserve">   </w:t>
      </w:r>
      <w:r w:rsidRPr="00AA4E05">
        <w:rPr>
          <w:rFonts w:ascii="仿宋_GB2312" w:eastAsia="仿宋_GB2312" w:hAnsi="楷体" w:hint="eastAsia"/>
          <w:sz w:val="32"/>
          <w:szCs w:val="32"/>
        </w:rPr>
        <w:t xml:space="preserve"> （三）非金属矿物制品业。</w:t>
      </w:r>
      <w:r w:rsidRPr="00AA4E05">
        <w:rPr>
          <w:rFonts w:ascii="仿宋_GB2312" w:eastAsia="仿宋_GB2312" w:hint="eastAsia"/>
          <w:sz w:val="32"/>
          <w:szCs w:val="32"/>
        </w:rPr>
        <w:t>一季度，非金属矿物制品产品价格同比上涨28.5%。其中，水泥、石灰和石膏制造上涨45.8%，石膏、水泥制品及类似制品制造上涨52.5%，砖瓦、石材等建筑材料制造上涨18.9%。非金属矿物制品价格涨幅</w:t>
      </w:r>
      <w:r>
        <w:rPr>
          <w:rFonts w:ascii="仿宋_GB2312" w:eastAsia="仿宋_GB2312" w:hint="eastAsia"/>
          <w:sz w:val="32"/>
          <w:szCs w:val="32"/>
        </w:rPr>
        <w:t>较高，一是受国家去产能政策影响，优化产业结构；二是受</w:t>
      </w:r>
      <w:r>
        <w:rPr>
          <w:rFonts w:ascii="仿宋_GB2312" w:eastAsia="仿宋_GB2312" w:hint="eastAsia"/>
          <w:sz w:val="32"/>
          <w:szCs w:val="32"/>
        </w:rPr>
        <w:lastRenderedPageBreak/>
        <w:t>国家环保督查力度加大影响，部分环保不达标水泥企业关闭，造成企业开工率下降。</w:t>
      </w: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</w:t>
      </w:r>
      <w:r>
        <w:rPr>
          <w:rFonts w:ascii="楷体_GB2312" w:eastAsia="楷体_GB2312" w:hAnsi="楷体" w:hint="eastAsia"/>
          <w:sz w:val="32"/>
          <w:szCs w:val="32"/>
        </w:rPr>
        <w:t>（四）金属相关行业产品价格整体上涨。</w:t>
      </w:r>
      <w:r>
        <w:rPr>
          <w:rFonts w:ascii="仿宋_GB2312" w:eastAsia="仿宋_GB2312" w:hint="eastAsia"/>
          <w:sz w:val="32"/>
          <w:szCs w:val="32"/>
        </w:rPr>
        <w:t>一季度，金属相关行业中，黑色金属冶炼及压延加工业价格上涨13.2%；有色金属冶炼及压延加工业价格上涨9.3%；金属制品业上涨7.9%。上述三个与金属相关行业出厂价格涨幅均高于全市PPI平均涨幅。</w:t>
      </w:r>
    </w:p>
    <w:p w:rsidR="00AA4E05" w:rsidRDefault="00AA4E05" w:rsidP="00AA4E05">
      <w:pPr>
        <w:spacing w:line="56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　　三、工业生产者价格上涨原因分析</w:t>
      </w: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楷体_GB2312" w:eastAsia="楷体_GB2312" w:hAnsi="楷体" w:hint="eastAsia"/>
          <w:sz w:val="32"/>
          <w:szCs w:val="32"/>
        </w:rPr>
        <w:t>（一）PPI同比上涨主要受翘尾因素影响。</w:t>
      </w:r>
      <w:r>
        <w:rPr>
          <w:rFonts w:ascii="仿宋_GB2312" w:eastAsia="仿宋_GB2312" w:hint="eastAsia"/>
          <w:sz w:val="32"/>
          <w:szCs w:val="32"/>
        </w:rPr>
        <w:t>从历史数据看，青岛PPI2016年10月开始由负转正，2017年一季度PPI涨幅为4.1%，属于恢复性上涨期，至2017年10月达到5.6%高点，去年4季度维持高位，平均上涨5.4%。去年指数前低后高对今年指数会产生较大翘尾影响。据测算，在2018年一季度PPI同比涨幅4.8个百分点中，上年价格变动的翘尾因素为3.8个百分点，占本季度涨幅的近八成，新涨价因素仅为1.0个百分点。</w:t>
      </w: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楷体_GB2312" w:eastAsia="楷体_GB2312" w:hAnsi="楷体" w:hint="eastAsia"/>
          <w:sz w:val="32"/>
          <w:szCs w:val="32"/>
        </w:rPr>
        <w:t xml:space="preserve">　　（二）主要生产资料价格上涨。</w:t>
      </w:r>
      <w:r>
        <w:rPr>
          <w:rFonts w:ascii="仿宋_GB2312" w:eastAsia="仿宋_GB2312" w:hint="eastAsia"/>
          <w:sz w:val="32"/>
          <w:szCs w:val="32"/>
        </w:rPr>
        <w:t>主要生产资料价格上涨，是工业生产者价格上涨的重要原因。原油和钢材、水泥等重要大宗产品价格上涨，带动了石油化工和金属冶炼与压延加工及制品、非金属矿物制品业大类产品价格的回升。特别是其中化工产品、非金属矿物制品价格上涨，较大影响了工业生产者出厂价格总水平。一季度，化学原料和化学制品业价格环比累计上涨6.1%，同比上涨23.1%，非金属矿物制品业环比累计上涨2.7%，同比上涨28.5%，两者均拉动工业生产</w:t>
      </w:r>
      <w:r>
        <w:rPr>
          <w:rFonts w:ascii="仿宋_GB2312" w:eastAsia="仿宋_GB2312" w:hint="eastAsia"/>
          <w:sz w:val="32"/>
          <w:szCs w:val="32"/>
        </w:rPr>
        <w:lastRenderedPageBreak/>
        <w:t>者出厂价格总水平上涨1.2个百分点，在30个行业大类中影响程度并列首位，占一季度PPI总涨幅的50%。</w:t>
      </w:r>
    </w:p>
    <w:p w:rsidR="00AA4E05" w:rsidRDefault="00AA4E05" w:rsidP="00AA4E05">
      <w:pPr>
        <w:spacing w:line="56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黑体" w:eastAsia="黑体" w:hAnsi="黑体" w:hint="eastAsia"/>
          <w:sz w:val="32"/>
          <w:szCs w:val="32"/>
        </w:rPr>
        <w:t>四、青岛工业生产者价格与全国及全省比较</w:t>
      </w: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　一季度，青岛PPI涨幅(上涨4.8%)比全国平均水平（上涨3.7%）高1.1个百分点，比全省平均水平（3.9%）高0.9个百分点；IPI涨幅(上涨4.3%)比全国平均水平（上涨4.4%）低0.1个百分点，比全省平均水平（3.8%）高0.5个百分点。从2016年11月青岛PPI由负转正的这轮上涨行情中，青岛PPI涨幅连续13个月和12个月低于全国和全省平均水平，直到去年12月份和11月份才首次分别高于全国、全省平均水平，目前已连续4个月和5个月比全国、全省平均水平高。IPI自2016年10月转正开始，连续16个月高于全国平均水平，18个月高于全省平均水平，直到今年2月份开始低于全国平均水平，虽然仍高于全省平均水平，但差距明显缩小。主要原因是，从全国和全省范围看，PPI涨幅较大的行业主要集中在煤炭、石油、金属等采选业，而青岛并无相关行业或产值较低，但相关原材料购进额比重较大，从而使前期青岛PPI同比涨幅低于全国平均水平，IPI涨幅大于全国平均水平。到去年底大宗商品价格进入高位，并且开始从高位回落，带动了全国、全省的价格指数开始回落，同理对青岛PPI下拉影响程度较低，这也是青岛近期PPI高于全国、全省平均水平，IPI低于全国平均水平的主要原因。</w:t>
      </w:r>
    </w:p>
    <w:p w:rsidR="00AA4E05" w:rsidRDefault="00AA4E05" w:rsidP="00AA4E05">
      <w:pPr>
        <w:spacing w:line="560" w:lineRule="exact"/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　　</w:t>
      </w:r>
      <w:r>
        <w:rPr>
          <w:rFonts w:ascii="黑体" w:eastAsia="黑体" w:hAnsi="黑体" w:hint="eastAsia"/>
          <w:sz w:val="32"/>
          <w:szCs w:val="32"/>
        </w:rPr>
        <w:t>五、二季度青岛工业生产者价格走势预测</w:t>
      </w: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一从国际看，2018年世界经济增长内生动力增强，将保</w:t>
      </w:r>
      <w:r>
        <w:rPr>
          <w:rFonts w:ascii="仿宋_GB2312" w:eastAsia="仿宋_GB2312" w:hint="eastAsia"/>
          <w:sz w:val="32"/>
          <w:szCs w:val="32"/>
        </w:rPr>
        <w:lastRenderedPageBreak/>
        <w:t>持温和复苏态势，发达国家经济形势好转，新兴经济体经济有所提升，但与此同时，深层次、结构性矛盾在全球范围内仍然较为突出，可能对全球经济复苏与金融市场稳定造成冲击。美元加息、美国发动贸易战，地缘政治等其他不确定性因素都会对大宗商品价格产生影响。</w:t>
      </w: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二从国内看，今年一季度，我国制造业PMI指数延续去年良好态势，今年1-3月份PMI指数分别为51.3%，50.3%和51.5%，连续20个月位于50%以上的景气区间，制造业呈现稳中有升的较好发展态势。表示我国经济形势较为乐观，对二季度将产生正向运行的支撑作用。</w:t>
      </w: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三从翘尾因素影响看，2017年价格上涨的翘尾因素将影响2018年PPI上涨大约2.5个百分点。分月看，2018年前3个月青岛PPI的翘尾分别为4.2、4.0和3.1个百分点，4-7月份分别为3.2、3.0、3.2个百分点，二季度翘尾影响比一季度平均减少0.7个百分点。</w:t>
      </w: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根据去年及今年一季度青岛工业生产者价格总水平的运行态势，综合上述影响其走势的因素分析，预计青岛PPI短期内可能会小幅波动，在一季度涨幅比去年四季度回落的基础上，二季度比一季度继续小幅回落。</w:t>
      </w:r>
    </w:p>
    <w:p w:rsidR="00AA4E05" w:rsidRDefault="00AA4E05" w:rsidP="00AA4E05">
      <w:pPr>
        <w:spacing w:line="560" w:lineRule="exact"/>
        <w:rPr>
          <w:rFonts w:ascii="仿宋_GB2312" w:eastAsia="仿宋_GB2312" w:hint="eastAsia"/>
          <w:sz w:val="32"/>
          <w:szCs w:val="32"/>
        </w:rPr>
      </w:pPr>
    </w:p>
    <w:p w:rsidR="00AA4E05" w:rsidRDefault="00AA4E05" w:rsidP="00AA4E05">
      <w:pPr>
        <w:spacing w:line="560" w:lineRule="exact"/>
        <w:rPr>
          <w:rFonts w:ascii="仿宋_GB2312" w:eastAsia="仿宋_GB2312" w:hint="eastAsia"/>
          <w:caps/>
          <w:sz w:val="32"/>
          <w:szCs w:val="32"/>
        </w:rPr>
      </w:pPr>
    </w:p>
    <w:p w:rsidR="00AA4E05" w:rsidRDefault="00AA4E05" w:rsidP="00AA4E05">
      <w:pPr>
        <w:spacing w:line="560" w:lineRule="exact"/>
        <w:rPr>
          <w:rFonts w:ascii="仿宋_GB2312" w:eastAsia="仿宋_GB2312" w:hint="eastAsia"/>
          <w:caps/>
          <w:sz w:val="32"/>
          <w:szCs w:val="32"/>
        </w:rPr>
      </w:pPr>
    </w:p>
    <w:p w:rsidR="00AA4E05" w:rsidRDefault="00AA4E05" w:rsidP="00AA4E05">
      <w:pPr>
        <w:spacing w:line="560" w:lineRule="exact"/>
        <w:rPr>
          <w:rFonts w:ascii="仿宋_GB2312" w:eastAsia="仿宋_GB2312" w:hint="eastAsia"/>
          <w:caps/>
          <w:sz w:val="32"/>
          <w:szCs w:val="32"/>
        </w:rPr>
      </w:pPr>
    </w:p>
    <w:p w:rsidR="00AA4E05" w:rsidRDefault="00AA4E05" w:rsidP="00AA4E05">
      <w:pPr>
        <w:spacing w:line="560" w:lineRule="exact"/>
        <w:rPr>
          <w:rFonts w:ascii="仿宋_GB2312" w:eastAsia="仿宋_GB2312" w:hint="eastAsia"/>
          <w:caps/>
          <w:sz w:val="32"/>
          <w:szCs w:val="32"/>
        </w:rPr>
      </w:pPr>
    </w:p>
    <w:p w:rsidR="00AA4E05" w:rsidRDefault="00AA4E05" w:rsidP="00AA4E05">
      <w:pPr>
        <w:spacing w:line="560" w:lineRule="exact"/>
        <w:rPr>
          <w:rFonts w:ascii="仿宋_GB2312" w:eastAsia="仿宋_GB2312" w:hint="eastAsia"/>
          <w:caps/>
          <w:sz w:val="32"/>
          <w:szCs w:val="32"/>
        </w:rPr>
      </w:pPr>
    </w:p>
    <w:p w:rsidR="00AA4E05" w:rsidRDefault="00AA4E05" w:rsidP="00AA4E05">
      <w:pPr>
        <w:spacing w:line="560" w:lineRule="exact"/>
        <w:rPr>
          <w:rFonts w:ascii="仿宋_GB2312" w:eastAsia="仿宋_GB2312" w:hint="eastAsia"/>
          <w:caps/>
          <w:sz w:val="32"/>
          <w:szCs w:val="32"/>
        </w:rPr>
      </w:pPr>
    </w:p>
    <w:p w:rsidR="00AA4E05" w:rsidRDefault="00AA4E05" w:rsidP="00AA4E05">
      <w:pPr>
        <w:spacing w:line="560" w:lineRule="exact"/>
        <w:rPr>
          <w:rFonts w:ascii="仿宋_GB2312" w:eastAsia="仿宋_GB2312" w:hint="eastAsia"/>
          <w:caps/>
          <w:sz w:val="32"/>
          <w:szCs w:val="32"/>
        </w:rPr>
      </w:pPr>
    </w:p>
    <w:p w:rsidR="00AA4E05" w:rsidRDefault="00AA4E05" w:rsidP="00AA4E05">
      <w:pPr>
        <w:spacing w:line="560" w:lineRule="exact"/>
        <w:rPr>
          <w:rFonts w:ascii="仿宋_GB2312" w:eastAsia="仿宋_GB2312" w:hint="eastAsia"/>
          <w:caps/>
          <w:sz w:val="32"/>
          <w:szCs w:val="32"/>
        </w:rPr>
      </w:pPr>
    </w:p>
    <w:sectPr w:rsidR="00AA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6C1" w:rsidRDefault="008656C1" w:rsidP="00AA4E05">
      <w:r>
        <w:separator/>
      </w:r>
    </w:p>
  </w:endnote>
  <w:endnote w:type="continuationSeparator" w:id="0">
    <w:p w:rsidR="008656C1" w:rsidRDefault="008656C1" w:rsidP="00AA4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6C1" w:rsidRDefault="008656C1" w:rsidP="00AA4E05">
      <w:r>
        <w:separator/>
      </w:r>
    </w:p>
  </w:footnote>
  <w:footnote w:type="continuationSeparator" w:id="0">
    <w:p w:rsidR="008656C1" w:rsidRDefault="008656C1" w:rsidP="00AA4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EB"/>
    <w:rsid w:val="001825EB"/>
    <w:rsid w:val="008656C1"/>
    <w:rsid w:val="00AA4E05"/>
    <w:rsid w:val="00A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FF256-7914-4F01-9951-E11C8D32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E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E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E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G:\&#25968;&#25454;&#27719;&#25253;(2018&#19968;&#23395;&#24230;&#65289;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H:\&#25968;&#25454;&#27719;&#25253;(2018&#19968;&#23395;&#24230;&#65289;.xls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G:\&#25968;&#25454;&#27719;&#25253;(2018&#19968;&#23395;&#24230;&#65289;.xls" TargetMode="External"/><Relationship Id="rId1" Type="http://schemas.openxmlformats.org/officeDocument/2006/relationships/themeOverride" Target="../theme/themeOverrid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Sheet8!$B$5</c:f>
              <c:strCache>
                <c:ptCount val="1"/>
                <c:pt idx="0">
                  <c:v>PPI</c:v>
                </c:pt>
              </c:strCache>
            </c:strRef>
          </c:tx>
          <c:marker>
            <c:symbol val="none"/>
          </c:marker>
          <c:cat>
            <c:numRef>
              <c:f>Sheet8!$C$4:$Q$4</c:f>
              <c:numCache>
                <c:formatCode>General</c:formatCode>
                <c:ptCount val="15"/>
                <c:pt idx="0">
                  <c:v>2017.1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2018.1</c:v>
                </c:pt>
                <c:pt idx="13">
                  <c:v>2</c:v>
                </c:pt>
                <c:pt idx="14">
                  <c:v>3</c:v>
                </c:pt>
              </c:numCache>
            </c:numRef>
          </c:cat>
          <c:val>
            <c:numRef>
              <c:f>Sheet8!$C$5:$Q$5</c:f>
              <c:numCache>
                <c:formatCode>0.0_ </c:formatCode>
                <c:ptCount val="15"/>
                <c:pt idx="0">
                  <c:v>103.32</c:v>
                </c:pt>
                <c:pt idx="1">
                  <c:v>103.94000000000032</c:v>
                </c:pt>
                <c:pt idx="2">
                  <c:v>104.25</c:v>
                </c:pt>
                <c:pt idx="3">
                  <c:v>104.21000000000002</c:v>
                </c:pt>
                <c:pt idx="4">
                  <c:v>104.05</c:v>
                </c:pt>
                <c:pt idx="5">
                  <c:v>103.78</c:v>
                </c:pt>
                <c:pt idx="6">
                  <c:v>103.66999999999999</c:v>
                </c:pt>
                <c:pt idx="7">
                  <c:v>104.32</c:v>
                </c:pt>
                <c:pt idx="8">
                  <c:v>104.96000000000002</c:v>
                </c:pt>
                <c:pt idx="9">
                  <c:v>105.64</c:v>
                </c:pt>
                <c:pt idx="10">
                  <c:v>105.46000000000002</c:v>
                </c:pt>
                <c:pt idx="11">
                  <c:v>105.14</c:v>
                </c:pt>
                <c:pt idx="12">
                  <c:v>105.39</c:v>
                </c:pt>
                <c:pt idx="13">
                  <c:v>104.93</c:v>
                </c:pt>
                <c:pt idx="14">
                  <c:v>104.2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Sheet8!$B$6</c:f>
              <c:strCache>
                <c:ptCount val="1"/>
                <c:pt idx="0">
                  <c:v>IPI</c:v>
                </c:pt>
              </c:strCache>
            </c:strRef>
          </c:tx>
          <c:marker>
            <c:symbol val="none"/>
          </c:marker>
          <c:cat>
            <c:numRef>
              <c:f>Sheet8!$C$4:$Q$4</c:f>
              <c:numCache>
                <c:formatCode>General</c:formatCode>
                <c:ptCount val="15"/>
                <c:pt idx="0">
                  <c:v>2017.1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2018.1</c:v>
                </c:pt>
                <c:pt idx="13">
                  <c:v>2</c:v>
                </c:pt>
                <c:pt idx="14">
                  <c:v>3</c:v>
                </c:pt>
              </c:numCache>
            </c:numRef>
          </c:cat>
          <c:val>
            <c:numRef>
              <c:f>Sheet8!$C$6:$Q$6</c:f>
              <c:numCache>
                <c:formatCode>0.0_ </c:formatCode>
                <c:ptCount val="15"/>
                <c:pt idx="0">
                  <c:v>111.86999999999999</c:v>
                </c:pt>
                <c:pt idx="1">
                  <c:v>115.16</c:v>
                </c:pt>
                <c:pt idx="2">
                  <c:v>115.47</c:v>
                </c:pt>
                <c:pt idx="3">
                  <c:v>113.26</c:v>
                </c:pt>
                <c:pt idx="4">
                  <c:v>111.11</c:v>
                </c:pt>
                <c:pt idx="5">
                  <c:v>109.21000000000002</c:v>
                </c:pt>
                <c:pt idx="6">
                  <c:v>108.69</c:v>
                </c:pt>
                <c:pt idx="7">
                  <c:v>109.06</c:v>
                </c:pt>
                <c:pt idx="8">
                  <c:v>110.1</c:v>
                </c:pt>
                <c:pt idx="9">
                  <c:v>109.7</c:v>
                </c:pt>
                <c:pt idx="10">
                  <c:v>108.98</c:v>
                </c:pt>
                <c:pt idx="11">
                  <c:v>106.98</c:v>
                </c:pt>
                <c:pt idx="12">
                  <c:v>106.03</c:v>
                </c:pt>
                <c:pt idx="13">
                  <c:v>103.88</c:v>
                </c:pt>
                <c:pt idx="14">
                  <c:v>102.98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950824"/>
        <c:axId val="456952000"/>
      </c:lineChart>
      <c:catAx>
        <c:axId val="456950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56952000"/>
        <c:crosses val="autoZero"/>
        <c:auto val="1"/>
        <c:lblAlgn val="ctr"/>
        <c:lblOffset val="100"/>
        <c:noMultiLvlLbl val="0"/>
      </c:catAx>
      <c:valAx>
        <c:axId val="456952000"/>
        <c:scaling>
          <c:orientation val="minMax"/>
        </c:scaling>
        <c:delete val="0"/>
        <c:axPos val="l"/>
        <c:majorGridlines/>
        <c:numFmt formatCode="0.0_ " sourceLinked="1"/>
        <c:majorTickMark val="none"/>
        <c:minorTickMark val="none"/>
        <c:tickLblPos val="nextTo"/>
        <c:crossAx val="45695082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Sheet8!$B$9</c:f>
              <c:strCache>
                <c:ptCount val="1"/>
                <c:pt idx="0">
                  <c:v>PPI</c:v>
                </c:pt>
              </c:strCache>
            </c:strRef>
          </c:tx>
          <c:marker>
            <c:symbol val="none"/>
          </c:marker>
          <c:cat>
            <c:numRef>
              <c:f>Sheet8!$C$8:$Q$8</c:f>
              <c:numCache>
                <c:formatCode>General</c:formatCode>
                <c:ptCount val="15"/>
                <c:pt idx="0">
                  <c:v>2017.1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2018.1</c:v>
                </c:pt>
                <c:pt idx="13">
                  <c:v>2</c:v>
                </c:pt>
                <c:pt idx="14">
                  <c:v>3</c:v>
                </c:pt>
              </c:numCache>
            </c:numRef>
          </c:cat>
          <c:val>
            <c:numRef>
              <c:f>Sheet8!$C$9:$Q$9</c:f>
              <c:numCache>
                <c:formatCode>0.0_ </c:formatCode>
                <c:ptCount val="15"/>
                <c:pt idx="0">
                  <c:v>100.9</c:v>
                </c:pt>
                <c:pt idx="1">
                  <c:v>100.59</c:v>
                </c:pt>
                <c:pt idx="2">
                  <c:v>100.42</c:v>
                </c:pt>
                <c:pt idx="3">
                  <c:v>99.910000000000025</c:v>
                </c:pt>
                <c:pt idx="4">
                  <c:v>100.24000000000002</c:v>
                </c:pt>
                <c:pt idx="5">
                  <c:v>99.72</c:v>
                </c:pt>
                <c:pt idx="6">
                  <c:v>99.86999999999999</c:v>
                </c:pt>
                <c:pt idx="7">
                  <c:v>100.51</c:v>
                </c:pt>
                <c:pt idx="8">
                  <c:v>100.88</c:v>
                </c:pt>
                <c:pt idx="9">
                  <c:v>100.86</c:v>
                </c:pt>
                <c:pt idx="10">
                  <c:v>100.52</c:v>
                </c:pt>
                <c:pt idx="11">
                  <c:v>100.6</c:v>
                </c:pt>
                <c:pt idx="12">
                  <c:v>101.14</c:v>
                </c:pt>
                <c:pt idx="13">
                  <c:v>100.16999999999999</c:v>
                </c:pt>
                <c:pt idx="14">
                  <c:v>99.710000000000022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Sheet8!$B$10</c:f>
              <c:strCache>
                <c:ptCount val="1"/>
                <c:pt idx="0">
                  <c:v>IPI</c:v>
                </c:pt>
              </c:strCache>
            </c:strRef>
          </c:tx>
          <c:marker>
            <c:symbol val="none"/>
          </c:marker>
          <c:cat>
            <c:numRef>
              <c:f>Sheet8!$C$8:$Q$8</c:f>
              <c:numCache>
                <c:formatCode>General</c:formatCode>
                <c:ptCount val="15"/>
                <c:pt idx="0">
                  <c:v>2017.1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2018.1</c:v>
                </c:pt>
                <c:pt idx="13">
                  <c:v>2</c:v>
                </c:pt>
                <c:pt idx="14">
                  <c:v>3</c:v>
                </c:pt>
              </c:numCache>
            </c:numRef>
          </c:cat>
          <c:val>
            <c:numRef>
              <c:f>Sheet8!$C$10:$Q$10</c:f>
              <c:numCache>
                <c:formatCode>0.0_ </c:formatCode>
                <c:ptCount val="15"/>
                <c:pt idx="0">
                  <c:v>101.69</c:v>
                </c:pt>
                <c:pt idx="1">
                  <c:v>102.38</c:v>
                </c:pt>
                <c:pt idx="2">
                  <c:v>100.51</c:v>
                </c:pt>
                <c:pt idx="3">
                  <c:v>98.57</c:v>
                </c:pt>
                <c:pt idx="4">
                  <c:v>99.440000000000026</c:v>
                </c:pt>
                <c:pt idx="5">
                  <c:v>98.97</c:v>
                </c:pt>
                <c:pt idx="6">
                  <c:v>100.11</c:v>
                </c:pt>
                <c:pt idx="7">
                  <c:v>100.57</c:v>
                </c:pt>
                <c:pt idx="8">
                  <c:v>101.1</c:v>
                </c:pt>
                <c:pt idx="9">
                  <c:v>101.31</c:v>
                </c:pt>
                <c:pt idx="10">
                  <c:v>101.78</c:v>
                </c:pt>
                <c:pt idx="11">
                  <c:v>100.43</c:v>
                </c:pt>
                <c:pt idx="12">
                  <c:v>100.79</c:v>
                </c:pt>
                <c:pt idx="13">
                  <c:v>100.3</c:v>
                </c:pt>
                <c:pt idx="14">
                  <c:v>99.63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0607088"/>
        <c:axId val="360607480"/>
      </c:lineChart>
      <c:catAx>
        <c:axId val="36060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60607480"/>
        <c:crosses val="autoZero"/>
        <c:auto val="1"/>
        <c:lblAlgn val="ctr"/>
        <c:lblOffset val="100"/>
        <c:noMultiLvlLbl val="0"/>
      </c:catAx>
      <c:valAx>
        <c:axId val="360607480"/>
        <c:scaling>
          <c:orientation val="minMax"/>
        </c:scaling>
        <c:delete val="0"/>
        <c:axPos val="l"/>
        <c:majorGridlines/>
        <c:numFmt formatCode="0.0_ " sourceLinked="1"/>
        <c:majorTickMark val="none"/>
        <c:minorTickMark val="none"/>
        <c:tickLblPos val="nextTo"/>
        <c:crossAx val="3606070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4"/>
              <c:layout>
                <c:manualLayout>
                  <c:x val="0"/>
                  <c:y val="0.1944444444444446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8.3333333333333367E-3"/>
                  <c:y val="0.162037037037037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Sheet8!$C$35:$L$35</c:f>
              <c:strCache>
                <c:ptCount val="10"/>
                <c:pt idx="1">
                  <c:v>燃料、动力类</c:v>
                </c:pt>
                <c:pt idx="2">
                  <c:v>黑色金属材料类</c:v>
                </c:pt>
                <c:pt idx="3">
                  <c:v>有色金属材料及电线类</c:v>
                </c:pt>
                <c:pt idx="4">
                  <c:v>化工原料类            </c:v>
                </c:pt>
                <c:pt idx="5">
                  <c:v>木材及纸浆类</c:v>
                </c:pt>
                <c:pt idx="6">
                  <c:v>建筑材料及非金属类</c:v>
                </c:pt>
                <c:pt idx="7">
                  <c:v>其他工业原材料及半成品类</c:v>
                </c:pt>
                <c:pt idx="8">
                  <c:v>农副产品类        </c:v>
                </c:pt>
                <c:pt idx="9">
                  <c:v>纺织原料类</c:v>
                </c:pt>
              </c:strCache>
            </c:strRef>
          </c:cat>
          <c:val>
            <c:numRef>
              <c:f>Sheet8!$C$36:$L$36</c:f>
              <c:numCache>
                <c:formatCode>0.00_ </c:formatCode>
                <c:ptCount val="10"/>
                <c:pt idx="1">
                  <c:v>9.57</c:v>
                </c:pt>
                <c:pt idx="2">
                  <c:v>2.52</c:v>
                </c:pt>
                <c:pt idx="3">
                  <c:v>8.17</c:v>
                </c:pt>
                <c:pt idx="4">
                  <c:v>-4.37</c:v>
                </c:pt>
                <c:pt idx="5">
                  <c:v>12.88</c:v>
                </c:pt>
                <c:pt idx="6">
                  <c:v>20.459999999999997</c:v>
                </c:pt>
                <c:pt idx="7">
                  <c:v>3.2</c:v>
                </c:pt>
                <c:pt idx="8">
                  <c:v>-2.2799999999999998</c:v>
                </c:pt>
                <c:pt idx="9">
                  <c:v>4.68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363026072"/>
        <c:axId val="359970016"/>
      </c:barChart>
      <c:catAx>
        <c:axId val="363026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700" baseline="0"/>
            </a:pPr>
            <a:endParaRPr lang="zh-CN"/>
          </a:p>
        </c:txPr>
        <c:crossAx val="359970016"/>
        <c:crosses val="autoZero"/>
        <c:auto val="1"/>
        <c:lblAlgn val="ctr"/>
        <c:lblOffset val="100"/>
        <c:noMultiLvlLbl val="0"/>
      </c:catAx>
      <c:valAx>
        <c:axId val="359970016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crossAx val="36302607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王靖:</dc:creator>
  <cp:keywords/>
  <dc:description/>
  <cp:lastModifiedBy>王靖:</cp:lastModifiedBy>
  <cp:revision>3</cp:revision>
  <dcterms:created xsi:type="dcterms:W3CDTF">2018-05-21T07:19:00Z</dcterms:created>
  <dcterms:modified xsi:type="dcterms:W3CDTF">2018-05-21T07:21:00Z</dcterms:modified>
</cp:coreProperties>
</file>