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B19B8F1">
      <w:pPr>
        <w:bidi w:val="0"/>
        <w:ind w:left="0" w:leftChars="0" w:firstLine="0" w:firstLineChars="0"/>
        <w:jc w:val="center"/>
        <w:rPr>
          <w:rFonts w:hint="eastAsia" w:ascii="黑体" w:hAnsi="黑体" w:eastAsia="黑体" w:cs="黑体"/>
          <w:sz w:val="44"/>
          <w:szCs w:val="44"/>
          <w:lang w:val="en-US" w:eastAsia="zh-CN"/>
        </w:rPr>
      </w:pPr>
      <w:bookmarkStart w:id="0" w:name="_GoBack"/>
      <w:r>
        <w:rPr>
          <w:rFonts w:hint="eastAsia" w:ascii="黑体" w:hAnsi="黑体" w:eastAsia="黑体" w:cs="黑体"/>
          <w:sz w:val="44"/>
          <w:szCs w:val="44"/>
          <w:lang w:val="en-US" w:eastAsia="zh-CN"/>
        </w:rPr>
        <w:t>《专业实习》物联网方向软件设计需求</w:t>
      </w:r>
    </w:p>
    <w:bookmarkEnd w:id="0"/>
    <w:p w14:paraId="26FEB7EE">
      <w:pPr>
        <w:bidi w:val="0"/>
        <w:ind w:left="0" w:leftChars="0" w:firstLine="0" w:firstLineChars="0"/>
        <w:jc w:val="center"/>
        <w:rPr>
          <w:rFonts w:hint="eastAsia" w:ascii="黑体" w:hAnsi="黑体" w:eastAsia="黑体" w:cs="黑体"/>
          <w:sz w:val="44"/>
          <w:szCs w:val="44"/>
          <w:lang w:val="en-US" w:eastAsia="zh-CN"/>
        </w:rPr>
      </w:pPr>
    </w:p>
    <w:p w14:paraId="0904D363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需求一：智能家居边缘应用网关（Windows应用程序）</w:t>
      </w:r>
    </w:p>
    <w:p w14:paraId="564395A0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 项目定位</w:t>
      </w:r>
    </w:p>
    <w:p w14:paraId="15CFBD9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本程序作为整个系统的边缘网关，是连接ZigBee网络与互联网云平台的桥梁。它核心是一个协议转换器，负责在“串口通信协议”和“云平台OneJSON协议”之间进行双向转换。此程序应具备高稳定性和可靠性，通常部署在靠近ZigBee协调器的现场电脑上（如家中常年开机的电脑）。</w:t>
      </w:r>
    </w:p>
    <w:p w14:paraId="5B07BDC0">
      <w:pPr>
        <w:pStyle w:val="3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2. 核心功能需求</w:t>
      </w:r>
    </w:p>
    <w:p w14:paraId="55358AC6">
      <w:pPr>
        <w:pStyle w:val="4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（1）串口通信管理</w:t>
      </w:r>
    </w:p>
    <w:p w14:paraId="7C996BA8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自动扫描并列出可用串口。</w:t>
      </w:r>
    </w:p>
    <w:p w14:paraId="2AE1585C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可配置串口参数（波特率、校验位等），参数需与ZigBee协调器设置一致。</w:t>
      </w:r>
    </w:p>
    <w:p w14:paraId="7FC2240A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提供连接/断开串口的功能按钮，并清晰显示当前连接状态。</w:t>
      </w:r>
    </w:p>
    <w:p w14:paraId="1826517A">
      <w:pPr>
        <w:pStyle w:val="4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（2）</w:t>
      </w:r>
      <w:r>
        <w:rPr>
          <w:rFonts w:hint="default"/>
          <w:lang w:val="en-US" w:eastAsia="zh-CN"/>
        </w:rPr>
        <w:t>上行数据处理（感知数据上报云端）</w:t>
      </w:r>
    </w:p>
    <w:p w14:paraId="3E14D6A7">
      <w:pPr>
        <w:bidi w:val="0"/>
        <w:rPr>
          <w:rFonts w:hint="default"/>
          <w:lang w:val="en-US" w:eastAsia="zh-CN"/>
        </w:rPr>
      </w:pPr>
      <w:r>
        <w:rPr>
          <w:rFonts w:hint="default"/>
          <w:b/>
          <w:bCs/>
          <w:lang w:val="en-US" w:eastAsia="zh-CN"/>
        </w:rPr>
        <w:t>监听与接收：</w:t>
      </w:r>
      <w:r>
        <w:rPr>
          <w:rFonts w:hint="default"/>
          <w:lang w:val="en-US" w:eastAsia="zh-CN"/>
        </w:rPr>
        <w:t>实时监听串口数据。</w:t>
      </w:r>
    </w:p>
    <w:p w14:paraId="17695C92">
      <w:pPr>
        <w:bidi w:val="0"/>
        <w:rPr>
          <w:rFonts w:hint="default"/>
          <w:lang w:val="en-US" w:eastAsia="zh-CN"/>
        </w:rPr>
      </w:pPr>
      <w:r>
        <w:rPr>
          <w:rFonts w:hint="default"/>
          <w:b/>
          <w:bCs/>
          <w:lang w:val="en-US" w:eastAsia="zh-CN"/>
        </w:rPr>
        <w:t>解析：</w:t>
      </w:r>
      <w:r>
        <w:rPr>
          <w:rFonts w:hint="default"/>
          <w:lang w:val="en-US" w:eastAsia="zh-CN"/>
        </w:rPr>
        <w:t>按照与ZigBee节点同学预先共同定义的串口通信协议</w:t>
      </w:r>
      <w:r>
        <w:rPr>
          <w:rFonts w:hint="eastAsia"/>
          <w:lang w:val="en-US" w:eastAsia="zh-CN"/>
        </w:rPr>
        <w:t>（如0:1,或3:1234），</w:t>
      </w:r>
      <w:r>
        <w:rPr>
          <w:rFonts w:hint="default"/>
          <w:lang w:val="en-US" w:eastAsia="zh-CN"/>
        </w:rPr>
        <w:t>解析来自传感器节点（如温湿度传感器）的数据。</w:t>
      </w:r>
    </w:p>
    <w:p w14:paraId="711ACDE5">
      <w:pPr>
        <w:bidi w:val="0"/>
        <w:rPr>
          <w:rFonts w:hint="default"/>
          <w:lang w:val="en-US" w:eastAsia="zh-CN"/>
        </w:rPr>
      </w:pPr>
      <w:r>
        <w:rPr>
          <w:rFonts w:hint="default"/>
          <w:b/>
          <w:bCs/>
          <w:lang w:val="en-US" w:eastAsia="zh-CN"/>
        </w:rPr>
        <w:t>封装：</w:t>
      </w:r>
      <w:r>
        <w:rPr>
          <w:rFonts w:hint="default"/>
          <w:lang w:val="en-US" w:eastAsia="zh-CN"/>
        </w:rPr>
        <w:t>将解析出的有效数据（如节点ID、温度值）按照OneNet平台的OneJSON数据格式进行封装。</w:t>
      </w:r>
    </w:p>
    <w:p w14:paraId="5612A7E4">
      <w:pPr>
        <w:bidi w:val="0"/>
        <w:rPr>
          <w:rFonts w:hint="default"/>
          <w:lang w:val="en-US" w:eastAsia="zh-CN"/>
        </w:rPr>
      </w:pPr>
      <w:r>
        <w:rPr>
          <w:rFonts w:hint="default"/>
          <w:b/>
          <w:bCs/>
          <w:lang w:val="en-US" w:eastAsia="zh-CN"/>
        </w:rPr>
        <w:t>示例：</w:t>
      </w:r>
      <w:r>
        <w:rPr>
          <w:rFonts w:hint="default"/>
          <w:lang w:val="en-US" w:eastAsia="zh-CN"/>
        </w:rPr>
        <w:t>将"01, TEMP, 25.6"解析后，封装为 {"id": "12345", "dp": {"temperatures": [{"v": 25.6}]}} 或类似格式。</w:t>
      </w:r>
    </w:p>
    <w:p w14:paraId="40021A4A">
      <w:pPr>
        <w:bidi w:val="0"/>
        <w:rPr>
          <w:rFonts w:hint="default"/>
          <w:lang w:val="en-US" w:eastAsia="zh-CN"/>
        </w:rPr>
      </w:pPr>
      <w:r>
        <w:rPr>
          <w:rFonts w:hint="default"/>
          <w:b/>
          <w:bCs/>
          <w:lang w:val="en-US" w:eastAsia="zh-CN"/>
        </w:rPr>
        <w:t>发布：</w:t>
      </w:r>
      <w:r>
        <w:rPr>
          <w:rFonts w:hint="default"/>
          <w:lang w:val="en-US" w:eastAsia="zh-CN"/>
        </w:rPr>
        <w:t>通过MQTT协议（推荐）或HTTP协议，将封装好的OneJSON数据包发布到OneNet云平台对应的设备数据流上。</w:t>
      </w:r>
    </w:p>
    <w:p w14:paraId="7549C8D7">
      <w:pPr>
        <w:pStyle w:val="4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（3）</w:t>
      </w:r>
      <w:r>
        <w:rPr>
          <w:rFonts w:hint="default"/>
          <w:lang w:val="en-US" w:eastAsia="zh-CN"/>
        </w:rPr>
        <w:t>下行数据处理（控制指令下发设备）</w:t>
      </w:r>
    </w:p>
    <w:p w14:paraId="1D25DEC3">
      <w:pPr>
        <w:rPr>
          <w:rFonts w:hint="default"/>
          <w:lang w:val="en-US" w:eastAsia="zh-CN"/>
        </w:rPr>
      </w:pPr>
      <w:r>
        <w:rPr>
          <w:rFonts w:hint="default"/>
          <w:b/>
          <w:bCs/>
          <w:lang w:val="en-US" w:eastAsia="zh-CN"/>
        </w:rPr>
        <w:t>订阅：</w:t>
      </w:r>
      <w:r>
        <w:rPr>
          <w:rFonts w:hint="default"/>
          <w:lang w:val="en-US" w:eastAsia="zh-CN"/>
        </w:rPr>
        <w:t>通过MQTT客户端订阅OneNet云平台上下发给本设备的所有控制指令Topic。</w:t>
      </w:r>
    </w:p>
    <w:p w14:paraId="1EBAE86B">
      <w:pPr>
        <w:rPr>
          <w:rFonts w:hint="default"/>
          <w:lang w:val="en-US" w:eastAsia="zh-CN"/>
        </w:rPr>
      </w:pPr>
      <w:r>
        <w:rPr>
          <w:rFonts w:hint="default"/>
          <w:b/>
          <w:bCs/>
          <w:lang w:val="en-US" w:eastAsia="zh-CN"/>
        </w:rPr>
        <w:t>接收与解析：</w:t>
      </w:r>
      <w:r>
        <w:rPr>
          <w:rFonts w:hint="default"/>
          <w:lang w:val="en-US" w:eastAsia="zh-CN"/>
        </w:rPr>
        <w:t>当云端有控制指令（如控制LED开关）下发时，程序会接收到一个OneJSON格式的数据包。程序需解析此OneJSON包，提取出控制目标（如LED1）和控制命令（如ON）。</w:t>
      </w:r>
    </w:p>
    <w:p w14:paraId="01733F0B">
      <w:pPr>
        <w:rPr>
          <w:rFonts w:hint="default"/>
          <w:lang w:val="en-US" w:eastAsia="zh-CN"/>
        </w:rPr>
      </w:pPr>
      <w:r>
        <w:rPr>
          <w:rFonts w:hint="default"/>
          <w:b/>
          <w:bCs/>
          <w:lang w:val="en-US" w:eastAsia="zh-CN"/>
        </w:rPr>
        <w:t>转换与发送：</w:t>
      </w:r>
      <w:r>
        <w:rPr>
          <w:rFonts w:hint="default"/>
          <w:lang w:val="en-US" w:eastAsia="zh-CN"/>
        </w:rPr>
        <w:t>将解析出的控制命令，按照串口通信协议转换成ZigBee协调器可以识别的格式（如"02, LED, ON\r\n"或0x02 0x01 0x01），并通过串口发送出去。</w:t>
      </w:r>
    </w:p>
    <w:p w14:paraId="1D33DB2B">
      <w:pPr>
        <w:rPr>
          <w:rFonts w:hint="default"/>
          <w:lang w:val="en-US" w:eastAsia="zh-CN"/>
        </w:rPr>
      </w:pPr>
      <w:r>
        <w:rPr>
          <w:rFonts w:hint="eastAsia"/>
          <w:b/>
          <w:bCs/>
          <w:lang w:val="en-US" w:eastAsia="zh-CN"/>
        </w:rPr>
        <w:t>（4）</w:t>
      </w:r>
      <w:r>
        <w:rPr>
          <w:rFonts w:hint="default"/>
          <w:b/>
          <w:bCs/>
          <w:lang w:val="en-US" w:eastAsia="zh-CN"/>
        </w:rPr>
        <w:t>调试与监控功能</w:t>
      </w:r>
    </w:p>
    <w:p w14:paraId="0999F60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2" w:firstLineChars="200"/>
        <w:textAlignment w:val="auto"/>
        <w:rPr>
          <w:rFonts w:hint="default"/>
          <w:lang w:val="en-US" w:eastAsia="zh-CN"/>
        </w:rPr>
      </w:pPr>
      <w:r>
        <w:rPr>
          <w:rFonts w:hint="default"/>
          <w:b/>
          <w:bCs/>
          <w:lang w:val="en-US" w:eastAsia="zh-CN"/>
        </w:rPr>
        <w:t>数据日志窗口：</w:t>
      </w:r>
      <w:r>
        <w:rPr>
          <w:rFonts w:hint="default"/>
          <w:lang w:val="en-US" w:eastAsia="zh-CN"/>
        </w:rPr>
        <w:t>提供一个可滚动的文本框或日志列表，实时显示：</w:t>
      </w:r>
    </w:p>
    <w:p w14:paraId="49C0F335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840" w:leftChars="0" w:firstLine="480" w:firstLineChars="20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原始串口接收数据（Hex或String）</w:t>
      </w:r>
    </w:p>
    <w:p w14:paraId="22011975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840" w:leftChars="0" w:firstLine="480" w:firstLineChars="20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解析后的串口数据内容</w:t>
      </w:r>
    </w:p>
    <w:p w14:paraId="3EDA0219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840" w:leftChars="0" w:firstLine="480" w:firstLineChars="20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发送到云端的OneJSON数据包</w:t>
      </w:r>
    </w:p>
    <w:p w14:paraId="704F1FFF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840" w:leftChars="0" w:firstLine="480" w:firstLineChars="20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从云端接收到的OneJSON指令包</w:t>
      </w:r>
    </w:p>
    <w:p w14:paraId="2C51DBF3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840" w:leftChars="0" w:firstLine="480" w:firstLineChars="20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发送到串口的控制指令</w:t>
      </w:r>
    </w:p>
    <w:p w14:paraId="36066E1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2" w:firstLineChars="200"/>
        <w:textAlignment w:val="auto"/>
        <w:rPr>
          <w:rFonts w:hint="default"/>
          <w:lang w:val="en-US" w:eastAsia="zh-CN"/>
        </w:rPr>
      </w:pPr>
      <w:r>
        <w:rPr>
          <w:rFonts w:hint="default"/>
          <w:b/>
          <w:bCs/>
          <w:lang w:val="en-US" w:eastAsia="zh-CN"/>
        </w:rPr>
        <w:t>状态显示：</w:t>
      </w:r>
      <w:r>
        <w:rPr>
          <w:rFonts w:hint="default"/>
          <w:lang w:val="en-US" w:eastAsia="zh-CN"/>
        </w:rPr>
        <w:t>清晰显示程序当前状态，如“串口已连接”、“MQTT已连接”、“数据上传中”等。</w:t>
      </w:r>
    </w:p>
    <w:p w14:paraId="4B0B5A4D">
      <w:pPr>
        <w:pStyle w:val="3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3. 技术要点</w:t>
      </w:r>
    </w:p>
    <w:p w14:paraId="3ECCF649">
      <w:pPr>
        <w:rPr>
          <w:rFonts w:hint="default"/>
          <w:lang w:val="en-US" w:eastAsia="zh-CN"/>
        </w:rPr>
      </w:pPr>
      <w:r>
        <w:rPr>
          <w:rFonts w:hint="default"/>
          <w:b/>
          <w:bCs/>
          <w:lang w:val="en-US" w:eastAsia="zh-CN"/>
        </w:rPr>
        <w:t>核心任务：</w:t>
      </w:r>
      <w:r>
        <w:rPr>
          <w:rFonts w:hint="default"/>
          <w:lang w:val="en-US" w:eastAsia="zh-CN"/>
        </w:rPr>
        <w:t>协议转换（串口协议 &lt;-&gt; OneJSON/MQTT）。</w:t>
      </w:r>
    </w:p>
    <w:p w14:paraId="35939678">
      <w:pPr>
        <w:rPr>
          <w:rFonts w:hint="default"/>
          <w:lang w:val="en-US" w:eastAsia="zh-CN"/>
        </w:rPr>
      </w:pPr>
      <w:r>
        <w:rPr>
          <w:rFonts w:hint="default"/>
          <w:b/>
          <w:bCs/>
          <w:lang w:val="en-US" w:eastAsia="zh-CN"/>
        </w:rPr>
        <w:t>关键库：</w:t>
      </w:r>
      <w:r>
        <w:rPr>
          <w:rFonts w:hint="default"/>
          <w:lang w:val="en-US" w:eastAsia="zh-CN"/>
        </w:rPr>
        <w:t>串口通信库（如pyserial）、MQTT客户端库（paho-mqtt）。</w:t>
      </w:r>
    </w:p>
    <w:p w14:paraId="72754716">
      <w:pPr>
        <w:rPr>
          <w:rFonts w:hint="default"/>
          <w:lang w:val="en-US" w:eastAsia="zh-CN"/>
        </w:rPr>
      </w:pPr>
      <w:r>
        <w:rPr>
          <w:rFonts w:hint="default"/>
          <w:b/>
          <w:bCs/>
          <w:lang w:val="en-US" w:eastAsia="zh-CN"/>
        </w:rPr>
        <w:t>注重：</w:t>
      </w:r>
      <w:r>
        <w:rPr>
          <w:rFonts w:hint="default"/>
          <w:lang w:val="en-US" w:eastAsia="zh-CN"/>
        </w:rPr>
        <w:t>稳定性、异常处理（如断网重连、串口异常处理）。</w:t>
      </w:r>
    </w:p>
    <w:p w14:paraId="67AE4707">
      <w:pPr>
        <w:pStyle w:val="2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需求二：智能家居远程管理系统（Windows应用程序）</w:t>
      </w:r>
    </w:p>
    <w:p w14:paraId="3F8BDDAE">
      <w:pPr>
        <w:pStyle w:val="3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1. 项目定位</w:t>
      </w:r>
    </w:p>
    <w:p w14:paraId="32D7E8D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本程序是一个纯粹的用户交互与控制终端。它运行在任何可以接入互联网的Windows电脑上（如老师的办公室电脑、学生的笔记本），通过标准的MQTT协议与云平台交互，实现对整个智能家居系统的远程状态监控和远程控制。它与“边缘网关”无需直接通信，完全通过云平台解耦。</w:t>
      </w:r>
    </w:p>
    <w:p w14:paraId="06F3B4FF">
      <w:pPr>
        <w:pStyle w:val="3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2. 核心功能需求</w:t>
      </w:r>
    </w:p>
    <w:p w14:paraId="365D51EC">
      <w:pPr>
        <w:pStyle w:val="4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（1）</w:t>
      </w:r>
      <w:r>
        <w:rPr>
          <w:rFonts w:hint="default"/>
          <w:lang w:val="en-US" w:eastAsia="zh-CN"/>
        </w:rPr>
        <w:t>云平台连接与认证</w:t>
      </w:r>
    </w:p>
    <w:p w14:paraId="300DF0D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提供界面输入连接OneNet所需的参数（如产品ID、设备ID、访问密钥）。</w:t>
      </w:r>
    </w:p>
    <w:p w14:paraId="65D5292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通过MQTT协议连接至OneNet云平台。</w:t>
      </w:r>
    </w:p>
    <w:p w14:paraId="03D81293">
      <w:pPr>
        <w:pStyle w:val="4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（2）</w:t>
      </w:r>
      <w:r>
        <w:rPr>
          <w:rFonts w:hint="default"/>
          <w:lang w:val="en-US" w:eastAsia="zh-CN"/>
        </w:rPr>
        <w:t>数据订阅与显示</w:t>
      </w:r>
    </w:p>
    <w:p w14:paraId="1C192D35">
      <w:pPr>
        <w:rPr>
          <w:rFonts w:hint="default"/>
          <w:lang w:val="en-US" w:eastAsia="zh-CN"/>
        </w:rPr>
      </w:pPr>
      <w:r>
        <w:rPr>
          <w:rFonts w:hint="default"/>
          <w:b/>
          <w:bCs/>
          <w:lang w:val="en-US" w:eastAsia="zh-CN"/>
        </w:rPr>
        <w:t>订阅：</w:t>
      </w:r>
      <w:r>
        <w:rPr>
          <w:rFonts w:hint="default"/>
          <w:lang w:val="en-US" w:eastAsia="zh-CN"/>
        </w:rPr>
        <w:t>订阅云端设备的数据流Topic，以接收传感器上报的最新数据。</w:t>
      </w:r>
    </w:p>
    <w:p w14:paraId="04BA1FA8">
      <w:p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实时显示：</w:t>
      </w:r>
    </w:p>
    <w:p w14:paraId="0E7A34BC">
      <w:pPr>
        <w:ind w:firstLine="897" w:firstLineChars="374"/>
        <w:rPr>
          <w:rFonts w:hint="default"/>
          <w:lang w:val="en-US" w:eastAsia="zh-CN"/>
        </w:rPr>
      </w:pPr>
      <w:r>
        <w:rPr>
          <w:rFonts w:hint="default" w:ascii="Calibri" w:hAnsi="Calibri" w:cs="Calibri"/>
          <w:lang w:val="en-US" w:eastAsia="zh-CN"/>
        </w:rPr>
        <w:t>①</w:t>
      </w:r>
      <w:r>
        <w:rPr>
          <w:rFonts w:hint="default"/>
          <w:lang w:val="en-US" w:eastAsia="zh-CN"/>
        </w:rPr>
        <w:t>数字显示：以清晰易读的数字形式（如大号字体）显示实时温度值。</w:t>
      </w:r>
    </w:p>
    <w:p w14:paraId="3896ED9D">
      <w:pPr>
        <w:ind w:firstLine="897" w:firstLineChars="374"/>
        <w:rPr>
          <w:rFonts w:hint="default"/>
          <w:lang w:val="en-US" w:eastAsia="zh-CN"/>
        </w:rPr>
      </w:pPr>
      <w:r>
        <w:rPr>
          <w:rFonts w:hint="default" w:ascii="Calibri" w:hAnsi="Calibri" w:cs="Calibri"/>
          <w:lang w:val="en-US" w:eastAsia="zh-CN"/>
        </w:rPr>
        <w:t>②</w:t>
      </w:r>
      <w:r>
        <w:rPr>
          <w:rFonts w:hint="default"/>
          <w:lang w:val="en-US" w:eastAsia="zh-CN"/>
        </w:rPr>
        <w:t>动态曲线：使用图表控件绘制温度的历史变化趋势曲线，自动更新。</w:t>
      </w:r>
    </w:p>
    <w:p w14:paraId="605511BB">
      <w:pPr>
        <w:pStyle w:val="4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（3）</w:t>
      </w:r>
      <w:r>
        <w:rPr>
          <w:rFonts w:hint="default"/>
          <w:lang w:val="en-US" w:eastAsia="zh-CN"/>
        </w:rPr>
        <w:t>设备控制</w:t>
      </w:r>
    </w:p>
    <w:p w14:paraId="48763D6F">
      <w:pPr>
        <w:rPr>
          <w:rFonts w:hint="default"/>
          <w:lang w:val="en-US" w:eastAsia="zh-CN"/>
        </w:rPr>
      </w:pPr>
      <w:r>
        <w:rPr>
          <w:rFonts w:hint="default"/>
          <w:b/>
          <w:bCs/>
          <w:lang w:val="en-US" w:eastAsia="zh-CN"/>
        </w:rPr>
        <w:t>控制界面：</w:t>
      </w:r>
      <w:r>
        <w:rPr>
          <w:rFonts w:hint="default"/>
          <w:lang w:val="en-US" w:eastAsia="zh-CN"/>
        </w:rPr>
        <w:t>提供图形化的控制控件，如按钮、开关滑块，用于控制远端的LED灯等设备。</w:t>
      </w:r>
    </w:p>
    <w:p w14:paraId="7FDEFF0D">
      <w:pPr>
        <w:rPr>
          <w:rFonts w:hint="default"/>
          <w:lang w:val="en-US" w:eastAsia="zh-CN"/>
        </w:rPr>
      </w:pPr>
      <w:r>
        <w:rPr>
          <w:rFonts w:hint="default"/>
          <w:b/>
          <w:bCs/>
          <w:lang w:val="en-US" w:eastAsia="zh-CN"/>
        </w:rPr>
        <w:t>指令发布：</w:t>
      </w:r>
      <w:r>
        <w:rPr>
          <w:rFonts w:hint="default"/>
          <w:lang w:val="en-US" w:eastAsia="zh-CN"/>
        </w:rPr>
        <w:t>当用户点击</w:t>
      </w:r>
      <w:r>
        <w:rPr>
          <w:rFonts w:hint="eastAsia"/>
          <w:lang w:val="en-US" w:eastAsia="zh-CN"/>
        </w:rPr>
        <w:t>“</w:t>
      </w:r>
      <w:r>
        <w:rPr>
          <w:rFonts w:hint="default"/>
          <w:lang w:val="en-US" w:eastAsia="zh-CN"/>
        </w:rPr>
        <w:t>开灯</w:t>
      </w:r>
      <w:r>
        <w:rPr>
          <w:rFonts w:hint="eastAsia"/>
          <w:lang w:val="en-US" w:eastAsia="zh-CN"/>
        </w:rPr>
        <w:t>”</w:t>
      </w:r>
      <w:r>
        <w:rPr>
          <w:rFonts w:hint="default"/>
          <w:lang w:val="en-US" w:eastAsia="zh-CN"/>
        </w:rPr>
        <w:t>按钮时，程序按照OneJSON格式封装控制指令（例如：{"dp": {"LED1": true}}），并通过MQTT协议发布到云平台上指定的命令Topic。</w:t>
      </w:r>
    </w:p>
    <w:p w14:paraId="3C62C936">
      <w:pPr>
        <w:rPr>
          <w:rFonts w:hint="default"/>
          <w:lang w:val="en-US" w:eastAsia="zh-CN"/>
        </w:rPr>
      </w:pPr>
      <w:r>
        <w:rPr>
          <w:rFonts w:hint="default"/>
          <w:b/>
          <w:bCs/>
          <w:lang w:val="en-US" w:eastAsia="zh-CN"/>
        </w:rPr>
        <w:t>状态反馈：</w:t>
      </w:r>
      <w:r>
        <w:rPr>
          <w:rFonts w:hint="default"/>
          <w:lang w:val="en-US" w:eastAsia="zh-CN"/>
        </w:rPr>
        <w:t>UI控件状态应根据从云端订阅到的设备最新状态进行更新，保持显示与设备实际状态一致。</w:t>
      </w:r>
    </w:p>
    <w:p w14:paraId="24A19805">
      <w:pPr>
        <w:pStyle w:val="4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（4）</w:t>
      </w:r>
      <w:r>
        <w:rPr>
          <w:rFonts w:hint="default"/>
          <w:lang w:val="en-US" w:eastAsia="zh-CN"/>
        </w:rPr>
        <w:t>用户体验</w:t>
      </w:r>
    </w:p>
    <w:p w14:paraId="4E530D2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界面布局美观、操作直观。</w:t>
      </w:r>
    </w:p>
    <w:p w14:paraId="16F9E80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显示清晰的连接状态（“已连接到云平台”）。</w:t>
      </w:r>
    </w:p>
    <w:p w14:paraId="20D1863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可显示操作日志（如“指令已发送”、“数据已接收”）。</w:t>
      </w:r>
    </w:p>
    <w:p w14:paraId="1C8D8887">
      <w:pPr>
        <w:pStyle w:val="3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3. 技术要点</w:t>
      </w:r>
    </w:p>
    <w:p w14:paraId="33893C20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（1）</w:t>
      </w:r>
      <w:r>
        <w:rPr>
          <w:rFonts w:hint="default"/>
          <w:b/>
          <w:bCs/>
          <w:lang w:val="en-US" w:eastAsia="zh-CN"/>
        </w:rPr>
        <w:t>核心任务：</w:t>
      </w:r>
      <w:r>
        <w:rPr>
          <w:rFonts w:hint="default"/>
          <w:lang w:val="en-US" w:eastAsia="zh-CN"/>
        </w:rPr>
        <w:t>人机交互（HMI）和MQTT消息的发布/订阅。</w:t>
      </w:r>
    </w:p>
    <w:p w14:paraId="2BBC85BD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（2）</w:t>
      </w:r>
      <w:r>
        <w:rPr>
          <w:rFonts w:hint="default"/>
          <w:b/>
          <w:bCs/>
          <w:lang w:val="en-US" w:eastAsia="zh-CN"/>
        </w:rPr>
        <w:t>关键库：</w:t>
      </w:r>
      <w:r>
        <w:rPr>
          <w:rFonts w:hint="default"/>
          <w:lang w:val="en-US" w:eastAsia="zh-CN"/>
        </w:rPr>
        <w:t>MQTT客户端库（如paho-mqtt）。</w:t>
      </w:r>
    </w:p>
    <w:p w14:paraId="1D0FBF53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（3）</w:t>
      </w:r>
      <w:r>
        <w:rPr>
          <w:rFonts w:hint="default"/>
          <w:b/>
          <w:bCs/>
          <w:lang w:val="en-US" w:eastAsia="zh-CN"/>
        </w:rPr>
        <w:t>注重：</w:t>
      </w:r>
      <w:r>
        <w:rPr>
          <w:rFonts w:hint="default"/>
          <w:lang w:val="en-US" w:eastAsia="zh-CN"/>
        </w:rPr>
        <w:t>UI设计、用户体验、与控制逻辑。</w:t>
      </w:r>
    </w:p>
    <w:p w14:paraId="57DCBAE1">
      <w:pPr>
        <w:rPr>
          <w:rFonts w:hint="default"/>
          <w:lang w:val="en-US" w:eastAsia="zh-CN"/>
        </w:rPr>
      </w:pPr>
    </w:p>
    <w:p w14:paraId="2933E0B4">
      <w:pPr>
        <w:pStyle w:val="2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总结与关系图 </w:t>
      </w:r>
    </w:p>
    <w:p w14:paraId="07FBB84C">
      <w:pPr>
        <w:pStyle w:val="3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总结</w:t>
      </w:r>
    </w:p>
    <w:tbl>
      <w:tblPr>
        <w:tblStyle w:val="6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1585"/>
        <w:gridCol w:w="3350"/>
        <w:gridCol w:w="3587"/>
      </w:tblGrid>
      <w:tr w14:paraId="47142F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jc w:val="center"/>
        </w:trPr>
        <w:tc>
          <w:tcPr>
            <w:tcW w:w="1585" w:type="dxa"/>
            <w:vAlign w:val="top"/>
          </w:tcPr>
          <w:p w14:paraId="64403B9F">
            <w:pPr>
              <w:widowControl w:val="0"/>
              <w:jc w:val="center"/>
              <w:rPr>
                <w:rFonts w:hint="default" w:asciiTheme="minorHAnsi" w:hAnsiTheme="minorHAnsi" w:eastAsiaTheme="minor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  <w:t>特性</w:t>
            </w:r>
          </w:p>
        </w:tc>
        <w:tc>
          <w:tcPr>
            <w:tcW w:w="3350" w:type="dxa"/>
            <w:vAlign w:val="top"/>
          </w:tcPr>
          <w:p w14:paraId="343661DE">
            <w:pPr>
              <w:widowControl w:val="0"/>
              <w:jc w:val="center"/>
              <w:rPr>
                <w:rFonts w:hint="default" w:asciiTheme="minorHAnsi" w:hAnsiTheme="minorHAnsi" w:eastAsiaTheme="minor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  <w:t>边缘应用网关</w:t>
            </w:r>
          </w:p>
        </w:tc>
        <w:tc>
          <w:tcPr>
            <w:tcW w:w="3587" w:type="dxa"/>
            <w:vAlign w:val="top"/>
          </w:tcPr>
          <w:p w14:paraId="7E2142E1">
            <w:pPr>
              <w:widowControl w:val="0"/>
              <w:jc w:val="center"/>
              <w:rPr>
                <w:rFonts w:hint="default" w:asciiTheme="minorHAnsi" w:hAnsiTheme="minorHAnsi" w:eastAsiaTheme="minor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  <w:t>远程管理系统</w:t>
            </w:r>
          </w:p>
        </w:tc>
      </w:tr>
      <w:tr w14:paraId="4D6122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jc w:val="center"/>
        </w:trPr>
        <w:tc>
          <w:tcPr>
            <w:tcW w:w="1585" w:type="dxa"/>
            <w:vAlign w:val="top"/>
          </w:tcPr>
          <w:p w14:paraId="6264F0C4">
            <w:pPr>
              <w:widowControl w:val="0"/>
              <w:jc w:val="center"/>
              <w:rPr>
                <w:rFonts w:hint="default" w:asciiTheme="minorHAnsi" w:hAnsiTheme="minorHAnsi" w:eastAsiaTheme="minor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  <w:t>角色</w:t>
            </w:r>
          </w:p>
        </w:tc>
        <w:tc>
          <w:tcPr>
            <w:tcW w:w="3350" w:type="dxa"/>
            <w:vAlign w:val="top"/>
          </w:tcPr>
          <w:p w14:paraId="5503E4D4">
            <w:pPr>
              <w:widowControl w:val="0"/>
              <w:jc w:val="both"/>
              <w:rPr>
                <w:rFonts w:hint="default" w:asciiTheme="minorHAnsi" w:hAnsiTheme="minorHAnsi" w:eastAsiaTheme="minorEastAsia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HAnsi" w:hAnsiTheme="minorHAnsi" w:eastAsiaTheme="minorEastAsia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  <w:t>协议转换器、桥梁</w:t>
            </w:r>
          </w:p>
        </w:tc>
        <w:tc>
          <w:tcPr>
            <w:tcW w:w="3587" w:type="dxa"/>
            <w:vAlign w:val="top"/>
          </w:tcPr>
          <w:p w14:paraId="346D525C">
            <w:pPr>
              <w:widowControl w:val="0"/>
              <w:jc w:val="both"/>
              <w:rPr>
                <w:rFonts w:hint="default" w:asciiTheme="minorHAnsi" w:hAnsiTheme="minorHAnsi" w:eastAsiaTheme="minorEastAsia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HAnsi" w:hAnsiTheme="minorHAnsi" w:eastAsiaTheme="minorEastAsia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  <w:t>用户控制终端</w:t>
            </w:r>
          </w:p>
        </w:tc>
      </w:tr>
      <w:tr w14:paraId="4F69D5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jc w:val="center"/>
        </w:trPr>
        <w:tc>
          <w:tcPr>
            <w:tcW w:w="1585" w:type="dxa"/>
            <w:vAlign w:val="top"/>
          </w:tcPr>
          <w:p w14:paraId="718CD619">
            <w:pPr>
              <w:widowControl w:val="0"/>
              <w:jc w:val="center"/>
              <w:rPr>
                <w:rFonts w:hint="default" w:asciiTheme="minorHAnsi" w:hAnsiTheme="minorHAnsi" w:eastAsiaTheme="minor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  <w:t>位置</w:t>
            </w:r>
          </w:p>
        </w:tc>
        <w:tc>
          <w:tcPr>
            <w:tcW w:w="3350" w:type="dxa"/>
            <w:vAlign w:val="top"/>
          </w:tcPr>
          <w:p w14:paraId="5DB78C4F">
            <w:pPr>
              <w:widowControl w:val="0"/>
              <w:jc w:val="both"/>
              <w:rPr>
                <w:rFonts w:hint="default" w:asciiTheme="minorHAnsi" w:hAnsiTheme="minorHAnsi" w:eastAsiaTheme="minorEastAsia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HAnsi" w:hAnsiTheme="minorHAnsi" w:eastAsiaTheme="minorEastAsia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  <w:t>现场，连接ZigBee协调器</w:t>
            </w:r>
          </w:p>
        </w:tc>
        <w:tc>
          <w:tcPr>
            <w:tcW w:w="3587" w:type="dxa"/>
            <w:vAlign w:val="top"/>
          </w:tcPr>
          <w:p w14:paraId="36849FB6">
            <w:pPr>
              <w:widowControl w:val="0"/>
              <w:jc w:val="both"/>
              <w:rPr>
                <w:rFonts w:hint="default" w:asciiTheme="minorHAnsi" w:hAnsiTheme="minorHAnsi" w:eastAsiaTheme="minorEastAsia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HAnsi" w:hAnsiTheme="minorHAnsi" w:eastAsiaTheme="minorEastAsia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  <w:t>远程，任何可联网位置</w:t>
            </w:r>
          </w:p>
        </w:tc>
      </w:tr>
      <w:tr w14:paraId="7B8A21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jc w:val="center"/>
        </w:trPr>
        <w:tc>
          <w:tcPr>
            <w:tcW w:w="1585" w:type="dxa"/>
            <w:vAlign w:val="top"/>
          </w:tcPr>
          <w:p w14:paraId="2EC078F6">
            <w:pPr>
              <w:widowControl w:val="0"/>
              <w:jc w:val="center"/>
              <w:rPr>
                <w:rFonts w:hint="default" w:asciiTheme="minorHAnsi" w:hAnsiTheme="minorHAnsi" w:eastAsiaTheme="minor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  <w:t>关键输入</w:t>
            </w:r>
          </w:p>
        </w:tc>
        <w:tc>
          <w:tcPr>
            <w:tcW w:w="3350" w:type="dxa"/>
            <w:vAlign w:val="top"/>
          </w:tcPr>
          <w:p w14:paraId="649A4B9F">
            <w:pPr>
              <w:widowControl w:val="0"/>
              <w:jc w:val="both"/>
              <w:rPr>
                <w:rFonts w:hint="default" w:asciiTheme="minorHAnsi" w:hAnsiTheme="minorHAnsi" w:eastAsiaTheme="minorEastAsia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HAnsi" w:hAnsiTheme="minorHAnsi" w:eastAsiaTheme="minorEastAsia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  <w:t>串口数据</w:t>
            </w:r>
          </w:p>
        </w:tc>
        <w:tc>
          <w:tcPr>
            <w:tcW w:w="3587" w:type="dxa"/>
            <w:vAlign w:val="top"/>
          </w:tcPr>
          <w:p w14:paraId="204647A4">
            <w:pPr>
              <w:widowControl w:val="0"/>
              <w:jc w:val="both"/>
              <w:rPr>
                <w:rFonts w:hint="default" w:asciiTheme="minorHAnsi" w:hAnsiTheme="minorHAnsi" w:eastAsiaTheme="minorEastAsia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HAnsi" w:hAnsiTheme="minorHAnsi" w:eastAsiaTheme="minorEastAsia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  <w:t>用户鼠标点击</w:t>
            </w:r>
          </w:p>
        </w:tc>
      </w:tr>
      <w:tr w14:paraId="752297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jc w:val="center"/>
        </w:trPr>
        <w:tc>
          <w:tcPr>
            <w:tcW w:w="1585" w:type="dxa"/>
            <w:vAlign w:val="top"/>
          </w:tcPr>
          <w:p w14:paraId="0AFF1272">
            <w:pPr>
              <w:widowControl w:val="0"/>
              <w:jc w:val="center"/>
              <w:rPr>
                <w:rFonts w:hint="default" w:asciiTheme="minorHAnsi" w:hAnsiTheme="minorHAnsi" w:eastAsiaTheme="minor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  <w:t>关键输出</w:t>
            </w:r>
          </w:p>
        </w:tc>
        <w:tc>
          <w:tcPr>
            <w:tcW w:w="3350" w:type="dxa"/>
            <w:vAlign w:val="top"/>
          </w:tcPr>
          <w:p w14:paraId="522B8DA0">
            <w:pPr>
              <w:widowControl w:val="0"/>
              <w:jc w:val="both"/>
              <w:rPr>
                <w:rFonts w:hint="default" w:asciiTheme="minorHAnsi" w:hAnsiTheme="minorHAnsi" w:eastAsiaTheme="minorEastAsia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HAnsi" w:hAnsiTheme="minorHAnsi" w:eastAsiaTheme="minorEastAsia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  <w:t>MQTT数据上报</w:t>
            </w:r>
          </w:p>
        </w:tc>
        <w:tc>
          <w:tcPr>
            <w:tcW w:w="3587" w:type="dxa"/>
            <w:vAlign w:val="top"/>
          </w:tcPr>
          <w:p w14:paraId="7926D639">
            <w:pPr>
              <w:widowControl w:val="0"/>
              <w:jc w:val="both"/>
              <w:rPr>
                <w:rFonts w:hint="default" w:asciiTheme="minorHAnsi" w:hAnsiTheme="minorHAnsi" w:eastAsiaTheme="minorEastAsia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HAnsi" w:hAnsiTheme="minorHAnsi" w:eastAsiaTheme="minorEastAsia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  <w:t>MQTT控制指令</w:t>
            </w:r>
          </w:p>
        </w:tc>
      </w:tr>
      <w:tr w14:paraId="64F822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jc w:val="center"/>
        </w:trPr>
        <w:tc>
          <w:tcPr>
            <w:tcW w:w="1585" w:type="dxa"/>
            <w:vAlign w:val="top"/>
          </w:tcPr>
          <w:p w14:paraId="226FFE54">
            <w:pPr>
              <w:widowControl w:val="0"/>
              <w:jc w:val="center"/>
              <w:rPr>
                <w:rFonts w:hint="default" w:asciiTheme="minorHAnsi" w:hAnsiTheme="minorHAnsi" w:eastAsiaTheme="minor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  <w:t>核心协议</w:t>
            </w:r>
          </w:p>
        </w:tc>
        <w:tc>
          <w:tcPr>
            <w:tcW w:w="3350" w:type="dxa"/>
            <w:vAlign w:val="top"/>
          </w:tcPr>
          <w:p w14:paraId="4150A16C">
            <w:pPr>
              <w:widowControl w:val="0"/>
              <w:jc w:val="both"/>
              <w:rPr>
                <w:rFonts w:hint="default" w:asciiTheme="minorHAnsi" w:hAnsiTheme="minorHAnsi" w:eastAsiaTheme="minorEastAsia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HAnsi" w:hAnsiTheme="minorHAnsi" w:eastAsiaTheme="minorEastAsia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  <w:t>串口协议+MQTT</w:t>
            </w:r>
          </w:p>
        </w:tc>
        <w:tc>
          <w:tcPr>
            <w:tcW w:w="3587" w:type="dxa"/>
            <w:vAlign w:val="top"/>
          </w:tcPr>
          <w:p w14:paraId="496E6D15">
            <w:pPr>
              <w:widowControl w:val="0"/>
              <w:jc w:val="both"/>
              <w:rPr>
                <w:rFonts w:hint="default" w:asciiTheme="minorHAnsi" w:hAnsiTheme="minorHAnsi" w:eastAsiaTheme="minorEastAsia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HAnsi" w:hAnsiTheme="minorHAnsi" w:eastAsiaTheme="minorEastAsia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  <w:t>MQTT</w:t>
            </w:r>
          </w:p>
        </w:tc>
      </w:tr>
      <w:tr w14:paraId="51C639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jc w:val="center"/>
        </w:trPr>
        <w:tc>
          <w:tcPr>
            <w:tcW w:w="1585" w:type="dxa"/>
            <w:vAlign w:val="top"/>
          </w:tcPr>
          <w:p w14:paraId="494562B3">
            <w:pPr>
              <w:widowControl w:val="0"/>
              <w:jc w:val="center"/>
              <w:rPr>
                <w:rFonts w:hint="default" w:asciiTheme="minorHAnsi" w:hAnsiTheme="minorHAnsi" w:eastAsiaTheme="minor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  <w:t>主要功能</w:t>
            </w:r>
          </w:p>
        </w:tc>
        <w:tc>
          <w:tcPr>
            <w:tcW w:w="3350" w:type="dxa"/>
            <w:vAlign w:val="top"/>
          </w:tcPr>
          <w:p w14:paraId="7D4CA674">
            <w:pPr>
              <w:widowControl w:val="0"/>
              <w:jc w:val="both"/>
              <w:rPr>
                <w:rFonts w:hint="default" w:asciiTheme="minorHAnsi" w:hAnsiTheme="minorHAnsi" w:eastAsiaTheme="minorEastAsia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HAnsi" w:hAnsiTheme="minorHAnsi" w:eastAsiaTheme="minorEastAsia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  <w:t>数据解析、协议转换、透传</w:t>
            </w:r>
          </w:p>
        </w:tc>
        <w:tc>
          <w:tcPr>
            <w:tcW w:w="3587" w:type="dxa"/>
            <w:vAlign w:val="top"/>
          </w:tcPr>
          <w:p w14:paraId="1F4C6CC6">
            <w:pPr>
              <w:widowControl w:val="0"/>
              <w:jc w:val="both"/>
              <w:rPr>
                <w:rFonts w:hint="default" w:asciiTheme="minorHAnsi" w:hAnsiTheme="minorHAnsi" w:eastAsiaTheme="minorEastAsia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HAnsi" w:hAnsiTheme="minorHAnsi" w:eastAsiaTheme="minorEastAsia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  <w:t>数据显示、图表绘制、用户控制</w:t>
            </w:r>
          </w:p>
        </w:tc>
      </w:tr>
    </w:tbl>
    <w:p w14:paraId="03AB697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br w:type="page"/>
      </w:r>
    </w:p>
    <w:p w14:paraId="73E5788F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关系图</w:t>
      </w:r>
    </w:p>
    <w:p w14:paraId="5D06AEF2">
      <w:pPr>
        <w:widowControl w:val="0"/>
        <w:jc w:val="center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drawing>
          <wp:inline distT="0" distB="0" distL="114300" distR="114300">
            <wp:extent cx="3275965" cy="3252470"/>
            <wp:effectExtent l="0" t="0" r="635" b="8890"/>
            <wp:docPr id="4" name="图片 4" descr="关系图 (1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关系图 (1)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275965" cy="3252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DD3F52">
      <w:pPr>
        <w:widowControl w:val="0"/>
        <w:jc w:val="center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</w:p>
    <w:p w14:paraId="4D904667">
      <w:pPr>
        <w:widowControl w:val="0"/>
        <w:jc w:val="right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</w:p>
    <w:p w14:paraId="37E53228">
      <w:pPr>
        <w:widowControl w:val="0"/>
        <w:jc w:val="right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2025年9月16日星期二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  <w:ind w:firstLine="480"/>
      </w:pPr>
      <w:r>
        <w:separator/>
      </w:r>
    </w:p>
  </w:endnote>
  <w:endnote w:type="continuationSeparator" w:id="1">
    <w:p>
      <w:pPr>
        <w:spacing w:line="240" w:lineRule="auto"/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unse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Arial Black">
    <w:panose1 w:val="020B0A04020102020204"/>
    <w:charset w:val="00"/>
    <w:family w:val="auto"/>
    <w:pitch w:val="default"/>
    <w:sig w:usb0="A00002AF" w:usb1="400078FB" w:usb2="00000000" w:usb3="00000000" w:csb0="6000009F" w:csb1="DFD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  <w:font w:name="+中文正文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+西文正文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Yu Gothic UI Semibold">
    <w:panose1 w:val="020B0700000000000000"/>
    <w:charset w:val="80"/>
    <w:family w:val="auto"/>
    <w:pitch w:val="default"/>
    <w:sig w:usb0="E00002FF" w:usb1="2AC7FDFF" w:usb2="00000016" w:usb3="00000000" w:csb0="2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  <w:ind w:firstLine="480"/>
      </w:pPr>
      <w:r>
        <w:separator/>
      </w:r>
    </w:p>
  </w:footnote>
  <w:footnote w:type="continuationSeparator" w:id="1">
    <w:p>
      <w:pPr>
        <w:spacing w:line="360" w:lineRule="auto"/>
        <w:ind w:firstLine="48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94DC0C5"/>
    <w:multiLevelType w:val="singleLevel"/>
    <w:tmpl w:val="594DC0C5"/>
    <w:lvl w:ilvl="0" w:tentative="0">
      <w:start w:val="1"/>
      <w:numFmt w:val="bullet"/>
      <w:lvlText w:val=""/>
      <w:lvlJc w:val="left"/>
      <w:pPr>
        <w:tabs>
          <w:tab w:val="left" w:pos="420"/>
        </w:tabs>
        <w:ind w:left="840" w:hanging="42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F0F1640"/>
    <w:rsid w:val="1F0F16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360" w:lineRule="auto"/>
      <w:ind w:firstLine="560" w:firstLineChars="200"/>
      <w:jc w:val="both"/>
    </w:pPr>
    <w:rPr>
      <w:rFonts w:ascii="Times New Roman" w:hAnsi="Times New Roman" w:eastAsia="宋体" w:cstheme="minorBidi"/>
      <w:kern w:val="2"/>
      <w:sz w:val="24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line="360" w:lineRule="auto"/>
      <w:ind w:firstLine="0" w:firstLineChars="0"/>
      <w:outlineLvl w:val="0"/>
    </w:pPr>
    <w:rPr>
      <w:rFonts w:ascii="黑体" w:hAnsi="黑体" w:eastAsia="黑体" w:cs="黑体"/>
      <w:sz w:val="28"/>
      <w:szCs w:val="28"/>
    </w:rPr>
  </w:style>
  <w:style w:type="paragraph" w:styleId="3">
    <w:name w:val="heading 2"/>
    <w:basedOn w:val="1"/>
    <w:next w:val="1"/>
    <w:unhideWhenUsed/>
    <w:qFormat/>
    <w:uiPriority w:val="0"/>
    <w:pPr>
      <w:ind w:firstLine="0" w:firstLineChars="0"/>
      <w:outlineLvl w:val="1"/>
    </w:pPr>
    <w:rPr>
      <w:rFonts w:ascii="黑体" w:hAnsi="黑体" w:eastAsia="黑体" w:cs="黑体"/>
    </w:rPr>
  </w:style>
  <w:style w:type="paragraph" w:styleId="4">
    <w:name w:val="heading 3"/>
    <w:basedOn w:val="1"/>
    <w:next w:val="1"/>
    <w:unhideWhenUsed/>
    <w:qFormat/>
    <w:uiPriority w:val="0"/>
    <w:pPr>
      <w:ind w:firstLine="0" w:firstLineChars="0"/>
      <w:outlineLvl w:val="2"/>
    </w:pPr>
    <w:rPr>
      <w:rFonts w:ascii="黑体" w:hAnsi="黑体" w:eastAsia="黑体" w:cs="黑体"/>
    </w:rPr>
  </w:style>
  <w:style w:type="character" w:default="1" w:styleId="7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6">
    <w:name w:val="Table Grid"/>
    <w:basedOn w:val="5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44</TotalTime>
  <ScaleCrop>false</ScaleCrop>
  <LinksUpToDate>false</LinksUpToDate>
  <CharactersWithSpaces>0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2025-09-16T12:22:00Z</dcterms:created>
  <dc:creator>陈淑清</dc:creator>
  <cp:lastModifiedBy>陈淑清</cp:lastModifiedBy>
  <dcterms:modified xsi:type="dcterms:W3CDTF">2025-09-16T13:08:30Z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ICV">
    <vt:lpwstr>4EB108D60AAC46568FF5EB923363C16C_11</vt:lpwstr>
  </property>
  <property fmtid="{D5CDD505-2E9C-101B-9397-08002B2CF9AE}" pid="4" name="KSOTemplateDocerSaveRecord">
    <vt:lpwstr>eyJoZGlkIjoiZWY3YjE3MWM0N2E4NjNlYTM2ZTMyM2EwYjczYjdhNGMiLCJ1c2VySWQiOiIxNTM2MjAzMzMwIn0=</vt:lpwstr>
  </property>
</Properties>
</file>