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專題報告摘要與貢獻說明</w:t>
      </w:r>
    </w:p>
    <w:p>
      <w:pPr>
        <w:spacing w:after="160"/>
        <w:jc w:val="center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入門級 FPGA 上金融資料跨時間步遞迴推論核心的可達邊界</w:t>
      </w:r>
      <w:r>
        <w:rPr>
          <w:rFonts w:ascii="Microsoft JhengHei" w:cs="Microsoft JhengHei" w:eastAsia="Microsoft JhengHei" w:hAnsi="Microsoft JhengHei"/>
        </w:rPr>
        <w:br/>
        <w:t xml:space="preserve"/>
      </w: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——從模型到實體電路的完整驗證鏈</w:t>
      </w:r>
    </w:p>
    <w:p>
      <w:pPr>
        <w:pStyle w:val="1"/>
        <w:spacing w:after="45" w:before="75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1"/>
          <w:szCs w:val="21"/>
        </w:rPr>
        <w:t xml:space="preserve">一、專題簡介</w:t>
      </w:r>
    </w:p>
    <w:p>
      <w:pPr>
        <w:spacing w:after="70" w:line="240"/>
        <w:jc w:val="both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本專題於一塊入門等級的 FPGA 開發板上，實作並驗證一顆處理金融委託簿資料的遞迴神經網路推論核心，並量測此類設計在資源受限平台上的可達邊界。採用平台為 PYNQ-Z2（Xilinx Zynq-7020），具 53,200 個查找表、220 顆 DSP 與 280 塊 BRAM，屬該系列中資源最少的等級之一。</w:t>
      </w:r>
    </w:p>
    <w:p>
      <w:pPr>
        <w:spacing w:after="70" w:line="240"/>
        <w:jc w:val="both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輸入為台灣指數期貨限價委託簿的即時狀態，共 16 維因果微結構特徵（買賣價差、各檔掛單量、佇列不平衡、近期波動與事件密度，及上述各量的變化率），嚴格僅使用決策時點之前可觀測的資訊；輸出為三選一的報價決策：掛買單、掛賣單、或不報價。資料來源為逐筆 L2 原始檔，約 1,300 萬筆可報價事件。</w:t>
      </w:r>
    </w:p>
    <w:p>
      <w:pPr>
        <w:spacing w:after="70" w:line="240"/>
        <w:jc w:val="both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模型命名為 PHC-lite，共 1,731 個參數、隱藏狀態維度 16，簡化自一個生物啟發的脈衝狀態空間模型。原模型的脈衝神經元動態、多區域分層拓樸、單一時間步內的多輪收斂迴圈與推論期線上權重更新，在資源受限的 FPGA 上或使資源用量遠超預算、或引入非確定性的執行時間，均予移除。保留三個可被定點電路直接實現的機制：</w:t>
      </w:r>
    </w:p>
    <w:p>
      <w:pPr>
        <w:spacing w:after="70" w:line="240"/>
        <w:jc w:val="both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門控（gate）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——以一個 Sigmoid 輸出決定當前輸入有多少進入狀態；</w:t>
      </w: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衰減（decay）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——舊狀態乘上一個 0–1 係數後與新資訊合併，構成有時間常數的短期記憶；</w:t>
      </w: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狀態相依增益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——由當前狀態算出一個係數，調節交互項的強度。</w:t>
      </w:r>
    </w:p>
    <w:p>
      <w:pPr>
        <w:spacing w:after="70" w:line="240"/>
        <w:jc w:val="both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單步推論被展開為九個固定順序的運算，其中第四步「合併衰減後的舊記憶與閘控後的新候選」之輸出，即為下一時間步的狀態輸入。</w:t>
      </w:r>
    </w:p>
    <w:p>
      <w:pPr>
        <w:spacing w:after="70" w:line="240"/>
        <w:jc w:val="both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這條回授路徑是本專題全部硬體困難的來源，也是模型有效性的來源。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 消融實驗顯示，切斷此回授後訊號在三個樣本外切分上分別下降 80 萬、190 萬與 78 萬元，完全崩潰；但在硬體上，狀態回授使起始間隔趨近於延遲本身，推論無法跨事件管線化。相對地，此模型的狀態僅 16 個數值（複雜度 O(1)），可完全展開於暫存器而不需使用 BRAM——這是它能被實作於此等級元件的關鍵條件。</w:t>
      </w:r>
    </w:p>
    <w:p>
      <w:pPr>
        <w:pStyle w:val="1"/>
        <w:spacing w:after="45" w:before="75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1"/>
          <w:szCs w:val="21"/>
        </w:rPr>
        <w:t xml:space="preserve">二、量測項目與結果摘要</w:t>
      </w:r>
    </w:p>
    <w:tbl>
      <w:tblPr>
        <w:tblW w:type="dxa" w:w="1008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2621"/>
        <w:gridCol w:w="7459"/>
      </w:tblGrid>
      <w:tr>
        <w:trPr>
          <w:tblHeader/>
        </w:trPr>
        <w:tc>
          <w:tcPr>
            <w:tcW w:type="dxa" w:w="2621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量測項目</w:t>
            </w:r>
          </w:p>
        </w:tc>
        <w:tc>
          <w:tcPr>
            <w:tcW w:type="dxa" w:w="7459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結果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單筆推論延遲</w:t>
            </w:r>
          </w:p>
        </w:tc>
        <w:tc>
          <w:tcPr>
            <w:tcW w:type="dxa" w:w="745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83.160 µs → 5.300 µs，加速 15.69 倍；五個設計點全部通過 RTL 協同模擬與布局繞線時序收斂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每次推論能耗</w:t>
            </w:r>
          </w:p>
        </w:tc>
        <w:tc>
          <w:tcPr>
            <w:tcW w:type="dxa" w:w="745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29.69 µJ → 2.38 µJ，改善 12.5 倍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可達邊界及其成因</w:t>
            </w:r>
          </w:p>
        </w:tc>
        <w:tc>
          <w:tcPr>
            <w:tcW w:type="dxa" w:w="745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下一設計點 3.830 µs 功能正確性已驗證（25,600 向量零不符），受限於需 452 顆 DSP 而平台僅 220 顆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加速的任務品質代價</w:t>
            </w:r>
          </w:p>
        </w:tc>
        <w:tc>
          <w:tcPr>
            <w:tcW w:type="dxa" w:w="745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前 3.72 倍不改變模型與權重，任務品質不變；其後累計 4.22 倍對應樣本外任務價值下降 9.74%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自動化高階合成之可用性</w:t>
            </w:r>
          </w:p>
        </w:tc>
        <w:tc>
          <w:tcPr>
            <w:tcW w:type="dxa" w:w="745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不可用。hls4ml 對五個模型變體全部失敗，無一產生 C++ 專案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遞迴與前饋架構之對照</w:t>
            </w:r>
          </w:p>
        </w:tc>
        <w:tc>
          <w:tcPr>
            <w:tcW w:type="dxa" w:w="745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相同條件下遞迴快 3.33 倍、BRAM 用量 0% 對 23.57%，代價為 1.40 倍的 DSP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實體晶片之數值等價性</w:t>
            </w:r>
          </w:p>
        </w:tc>
        <w:tc>
          <w:tcPr>
            <w:tcW w:type="dxa" w:w="745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曲線兩端皆燒錄上板，各重播 4,096 筆真實事件逐筆比對，決策翻轉皆為 0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推論核心是否為限制因素</w:t>
            </w:r>
          </w:p>
        </w:tc>
        <w:tc>
          <w:tcPr>
            <w:tcW w:type="dxa" w:w="745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否。FI-2010 四軸分離實驗排除容量、骨幹、協定與表徵規模，四軸全部為否定</w:t>
            </w:r>
          </w:p>
        </w:tc>
      </w:tr>
    </w:tbl>
    <w:p>
      <w:pPr>
        <w:pStyle w:val="1"/>
        <w:spacing w:after="45" w:before="75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1"/>
          <w:szCs w:val="21"/>
        </w:rPr>
        <w:t xml:space="preserve">三、各階段之方法與成果</w:t>
      </w:r>
    </w:p>
    <w:p>
      <w:pPr>
        <w:pStyle w:val="2"/>
        <w:spacing w:after="45" w:before="75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1"/>
          <w:szCs w:val="21"/>
        </w:rPr>
        <w:t xml:space="preserve">階段一　資料建構與評估協定</w:t>
      </w:r>
    </w:p>
    <w:p>
      <w:pPr>
        <w:spacing w:after="70" w:line="240"/>
        <w:jc w:val="both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自逐筆 L2 原始檔逐事件展開為「此刻可採取的三種動作」之資料集；以 SHA-256 精確比對執行跨五個資料群組的去重；設計五路切分與使用規則，規定開發集方可調參、診斷集僅能檢視結果、最終保留集於專案生命週期中僅開啟一次。</w:t>
      </w:r>
    </w:p>
    <w:p>
      <w:pPr>
        <w:spacing w:after="70" w:line="240"/>
        <w:jc w:val="both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成果：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最終保留集的開啟由程式強制——載入前逐項驗證九項凍結設定，任一項不符即中止。另量化出一項影響後續全部評估的事實：若以「假設掛單必定成交」的天真指標計算，獲利的 </w:t>
      </w: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99.42–99.999%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 僅來自買賣價差本身的機械性價差，與模型的預測能力無關。故全部效能主張改以逐筆模擬成交（含成交機率與庫存上限）的保守口徑報告。</w:t>
      </w:r>
    </w:p>
    <w:p>
      <w:pPr>
        <w:pStyle w:val="2"/>
        <w:spacing w:after="45" w:before="75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1"/>
          <w:szCs w:val="21"/>
        </w:rPr>
        <w:t xml:space="preserve">階段二　模型設計與消融</w:t>
      </w:r>
    </w:p>
    <w:p>
      <w:pPr>
        <w:spacing w:after="70" w:line="240"/>
        <w:jc w:val="both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自原模型逐項論證各機制的保留與移除理由，重新設計為單步、純定點、可被高階合成的 PHC-lite，並以消融實驗檢驗各機制的必要性。</w:t>
      </w:r>
    </w:p>
    <w:p>
      <w:pPr>
        <w:spacing w:after="70" w:line="240"/>
        <w:jc w:val="both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成果：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證實時間順序與狀態記憶為必要條件（切斷後訊號崩潰）；但「每通道衰減參數必須透過學習取得」此一較強的主張不成立——固定係數 0.9 的結果幾乎打平，兩個切分甚至略優，列為否定結果。</w:t>
      </w:r>
    </w:p>
    <w:p>
      <w:pPr>
        <w:pStyle w:val="2"/>
        <w:spacing w:after="45" w:before="75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1"/>
          <w:szCs w:val="21"/>
        </w:rPr>
        <w:t xml:space="preserve">階段三　定點量化</w:t>
      </w:r>
    </w:p>
    <w:p>
      <w:pPr>
        <w:spacing w:after="70" w:line="240"/>
        <w:jc w:val="both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權重與輸入採 ap_fixed&lt;24,12&gt;、累加器採 ap_fixed&lt;40,16&gt;。單一影響最大的決策為將 tanh 與 sigmoid 改以 65 點分段線性查表加線性插值實現。</w:t>
      </w:r>
    </w:p>
    <w:p>
      <w:pPr>
        <w:spacing w:after="70" w:line="240"/>
        <w:jc w:val="both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成果：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若交由高階合成工具預設處理，單次 tanh 呼叫將被合成為雙精度浮點運算核心、約耗用 </w:t>
      </w: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2,048 顆 DSP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，而整塊元件僅有 220 顆。改用查表後，合成結果中已不再出現任何浮點硬體核心。重尾分布的委託簿特徵則於訓練階段即以對數與截尾壓縮動態範圍，使量化成為訓練時的約束，而非事後補救。</w:t>
      </w:r>
    </w:p>
    <w:p>
      <w:pPr>
        <w:pStyle w:val="2"/>
        <w:spacing w:after="45" w:before="75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1"/>
          <w:szCs w:val="21"/>
        </w:rPr>
        <w:t xml:space="preserve">階段四　高階合成</w:t>
      </w:r>
    </w:p>
    <w:p>
      <w:pPr>
        <w:spacing w:after="70" w:line="240"/>
        <w:jc w:val="both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先評估自動化工具鏈 hls4ml，五個模型變體全部於 Python 端模型解析階段即失敗。阻擋點為二維 LayerNorm、非標準 padding 的形狀解析，以及符號追蹤無法處理含控制流的前向函式——三者皆與遞迴無關，前饋模型同樣被阻擋。</w:t>
      </w:r>
    </w:p>
    <w:p>
      <w:pPr>
        <w:spacing w:after="70" w:line="240"/>
        <w:jc w:val="both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成果：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改以手動 Vitis HLS 重寫推論運算。第一版於 C 合成階段 DSP 用量達 </w:t>
      </w: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2,636%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，經八輪優化收斂至布局繞線後 </w:t>
      </w: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21.36%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。為使架構比較成立，另以相同流程完整實作前饋 TCN 對照組並推進至同等驗證層級，量得其記憶體埠寬受限的機制證據：展開因子由 1 增至 4 時，每事件週期數僅降為 2.22 倍，遠低於理想的 4 倍。</w:t>
      </w:r>
    </w:p>
    <w:p>
      <w:pPr>
        <w:pStyle w:val="2"/>
        <w:spacing w:after="45" w:before="75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1"/>
          <w:szCs w:val="21"/>
        </w:rPr>
        <w:t xml:space="preserve">階段五　板級整合與上板驗證</w:t>
      </w:r>
    </w:p>
    <w:p>
      <w:pPr>
        <w:spacing w:after="70" w:line="240"/>
        <w:jc w:val="both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推論核心本身只負責「接收一筆特徵、輸出一組分數」；要讓它在開發板上實際運行，尚需一整組周邊電路。本人以 SystemVerilog 自行撰寫：將 4,096 筆預錄市場事件寫入晶片內記憶體的資料封裝、逐筆餵入核心並接收輸出的控制狀態機、將每筆輸出與軟體答案即時比對的檢查電路，以及時脈產生與時序約束，最後完成布局繞線與 JTAG 燒錄。</w:t>
      </w:r>
    </w:p>
    <w:p>
      <w:pPr>
        <w:spacing w:after="70" w:line="240"/>
        <w:jc w:val="both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成果：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將設計空間曲線的兩端——</w:t>
      </w: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訊號品質最佳的版本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與</w:t>
      </w: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延遲最低的版本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——分別燒錄至實體 FPGA，各重播 4,096 筆事件（取自真實市場事件最密集的時窗，峰值 1,469 事件／秒），逐筆核對晶片輸出與軟體參考輸出：</w:t>
      </w:r>
    </w:p>
    <w:tbl>
      <w:tblPr>
        <w:tblW w:type="dxa" w:w="1008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2016"/>
        <w:gridCol w:w="1411"/>
        <w:gridCol w:w="4838"/>
        <w:gridCol w:w="1814"/>
      </w:tblGrid>
      <w:tr>
        <w:trPr>
          <w:tblHeader/>
        </w:trPr>
        <w:tc>
          <w:tcPr>
            <w:tcW w:type="dxa" w:w="2016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上板版本</w:t>
            </w:r>
          </w:p>
        </w:tc>
        <w:tc>
          <w:tcPr>
            <w:tcW w:type="dxa" w:w="1411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單筆延遲</w:t>
            </w:r>
          </w:p>
        </w:tc>
        <w:tc>
          <w:tcPr>
            <w:tcW w:type="dxa" w:w="4838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晶片輸出與軟體參考的差異</w:t>
            </w:r>
          </w:p>
        </w:tc>
        <w:tc>
          <w:tcPr>
            <w:tcW w:type="dxa" w:w="1814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決策是否改變</w:t>
            </w:r>
          </w:p>
        </w:tc>
      </w:tr>
      <w:tr>
        <w:trPr>
          <w:tblHeader w:val="false"/>
        </w:trPr>
        <w:tc>
          <w:tcPr>
            <w:tcW w:type="dxa" w:w="20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5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訊號品質最佳版</w:t>
            </w:r>
          </w:p>
        </w:tc>
        <w:tc>
          <w:tcPr>
            <w:tcW w:type="dxa" w:w="141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5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25.733 µs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5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4,096 筆中有 27 筆相差 1 個最小量化單位（約 0.00024）</w:t>
            </w:r>
          </w:p>
        </w:tc>
        <w:tc>
          <w:tcPr>
            <w:tcW w:type="dxa" w:w="181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0 筆</w:t>
            </w:r>
          </w:p>
        </w:tc>
      </w:tr>
      <w:tr>
        <w:trPr>
          <w:tblHeader w:val="false"/>
        </w:trPr>
        <w:tc>
          <w:tcPr>
            <w:tcW w:type="dxa" w:w="20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5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延遲最低版</w:t>
            </w:r>
          </w:p>
        </w:tc>
        <w:tc>
          <w:tcPr>
            <w:tcW w:type="dxa" w:w="141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5.300 µs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4,096 筆完全相同，位元級一致</w:t>
            </w:r>
          </w:p>
        </w:tc>
        <w:tc>
          <w:tcPr>
            <w:tcW w:type="dxa" w:w="181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0 筆</w:t>
            </w:r>
          </w:p>
        </w:tc>
      </w:tr>
    </w:tbl>
    <w:p>
      <w:pPr>
        <w:spacing w:after="70" w:line="240"/>
        <w:jc w:val="both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最後一欄才是關鍵。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 即使輸出數值存在極小差異，只要最終的三選一報價決策未因此改變，硬體與軟體的行為即為等價；兩個版本皆為 0 筆。另為確認該比對電路並非一律放行，於第 17 筆事件刻意注入一個已知錯誤（16 個量化單位），該錯誤於板上被成功偵測。</w:t>
      </w:r>
    </w:p>
    <w:p>
      <w:pPr>
        <w:pStyle w:val="1"/>
        <w:spacing w:after="45" w:before="75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1"/>
          <w:szCs w:val="21"/>
        </w:rPr>
        <w:t xml:space="preserve">四、結論</w:t>
      </w:r>
    </w:p>
    <w:p>
      <w:pPr>
        <w:spacing w:after="70" w:line="240"/>
        <w:jc w:val="both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1　完整驗證鏈是可行的，且其邊界可被量化為具體數字。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 5.300 µs、2.38 µJ，以及「需 452 顆 DSP 而預算為 220 顆」。末者可外推——更換 DSP 數量較多的同代元件即可直接續行，無需重新設計。本專題所量得的是元件的邊界，而非設計能力的邊界。</w:t>
      </w:r>
    </w:p>
    <w:p>
      <w:pPr>
        <w:spacing w:after="70" w:line="240"/>
        <w:jc w:val="both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2　於固定大小的元件上，架構選擇由狀態能否置於暫存器主導，而非由預測準確率主導。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 遞迴模型的狀態複雜度為 O(1)，可完全展開於暫存器、BRAM 用量為零，故不受 BRAM 雙埠的讀取序列化限制，空間平行度方能轉換為週期數的下降；前饋架構的 O(window) 歷史緩衝不具此條件。</w:t>
      </w:r>
    </w:p>
    <w:p>
      <w:pPr>
        <w:spacing w:after="70" w:line="240"/>
        <w:jc w:val="both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3　自動化高階合成工具鏈於此規模不可用，手動實作為必要條件而非方法論偏好。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 此為本專題全部硬體工作量的來源，亦為對既有文獻的補充：文獻證明標準 GRU/LSTM 可被自動轉換，本專題量得客製化層配置超出其解析器覆蓋範圍。</w:t>
      </w:r>
    </w:p>
    <w:p>
      <w:pPr>
        <w:pStyle w:val="1"/>
        <w:spacing w:after="45" w:before="75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1"/>
          <w:szCs w:val="21"/>
        </w:rPr>
        <w:t xml:space="preserve">五、貢獻說明</w:t>
      </w:r>
    </w:p>
    <w:p>
      <w:pPr>
        <w:spacing w:after="70" w:line="240"/>
        <w:jc w:val="both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本專題由本人獨立完成，涵蓋自原始市場資料至實體晶片的完整技術堆疊。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 全部工作依編號 00–08A 分為 67 個實驗階段管理，每階段具獨立的輸入契約、產出與稽核文件，構成如下：</w:t>
      </w:r>
    </w:p>
    <w:tbl>
      <w:tblPr>
        <w:tblW w:type="dxa" w:w="1008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2621"/>
        <w:gridCol w:w="5242"/>
        <w:gridCol w:w="2218"/>
      </w:tblGrid>
      <w:tr>
        <w:trPr>
          <w:tblHeader/>
        </w:trPr>
        <w:tc>
          <w:tcPr>
            <w:tcW w:type="dxa" w:w="2621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階段群（共 67 階段）</w:t>
            </w:r>
          </w:p>
        </w:tc>
        <w:tc>
          <w:tcPr>
            <w:tcW w:type="dxa" w:w="5242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本人完成的工作</w:t>
            </w:r>
          </w:p>
        </w:tc>
        <w:tc>
          <w:tcPr>
            <w:tcW w:type="dxa" w:w="2218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5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6"/>
                <w:szCs w:val="16"/>
              </w:rPr>
              <w:t xml:space="preserve">技術棧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5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資料建構、特徵設計與評估協定凍結（22）</w:t>
            </w:r>
          </w:p>
        </w:tc>
        <w:tc>
          <w:tcPr>
            <w:tcW w:type="dxa" w:w="524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5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資料集建構；SHA-256 跨群組去重；16 維因果特徵設計與因果性驗證；五路切分與使用規則；九項凍結設定的程式強制驗證；兩種損益口徑的區分與機械性價差成分的量化分解；配對隨機顯著性檢定（1,000 次試驗）</w:t>
            </w:r>
          </w:p>
        </w:tc>
        <w:tc>
          <w:tcPr>
            <w:tcW w:type="dxa" w:w="22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5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Python、pandas、統計檢定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5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模型設計、簡化與消融（11）</w:t>
            </w:r>
          </w:p>
        </w:tc>
        <w:tc>
          <w:tcPr>
            <w:tcW w:type="dxa" w:w="524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5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PHC-lite 的簡化取捨逐項論證；消融實驗；五階段模型改良；hidden8 與對角化狀態空間兩個降階變體</w:t>
            </w:r>
          </w:p>
        </w:tc>
        <w:tc>
          <w:tcPr>
            <w:tcW w:type="dxa" w:w="22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5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PyTorch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5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定點量化、手動高階合成與延遲優化（20）</w:t>
            </w:r>
          </w:p>
        </w:tc>
        <w:tc>
          <w:tcPr>
            <w:tcW w:type="dxa" w:w="524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5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定點格式設計、非線性函數查表化、累加器位寬掃描；自動化工具鏈評估與失敗軌跡記錄；手寫 C++ 推論運算與八輪資源收斂；管線化與陣列分割策略取捨</w:t>
            </w:r>
          </w:p>
        </w:tc>
        <w:tc>
          <w:tcPr>
            <w:tcW w:type="dxa" w:w="22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5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C++、Vitis HLS、定點算術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5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前饋對照組的完整實作（9）</w:t>
            </w:r>
          </w:p>
        </w:tc>
        <w:tc>
          <w:tcPr>
            <w:tcW w:type="dxa" w:w="524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5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以相同流程完整實作 TCN 對照組並推進至同等驗證層級；量得記憶體埠寬受限的機制證據</w:t>
            </w:r>
          </w:p>
        </w:tc>
        <w:tc>
          <w:tcPr>
            <w:tcW w:type="dxa" w:w="22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5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C++、Vitis HLS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5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板級整合與上板驗證（3）</w:t>
            </w:r>
          </w:p>
        </w:tc>
        <w:tc>
          <w:tcPr>
            <w:tcW w:type="dxa" w:w="524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5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SystemVerilog 周邊電路、重播狀態機、BRAM 向量封裝、雙寫埠介面與寫入覆蓋驗證、錯誤注入對照；時脈與時序約束；兩個版本的燒錄與各 4,096 筆重播驗證</w:t>
            </w:r>
          </w:p>
        </w:tc>
        <w:tc>
          <w:tcPr>
            <w:tcW w:type="dxa" w:w="22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5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SystemVerilog、Vivado、XDC、TCL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5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公開基準評估與其他（2）</w:t>
            </w:r>
          </w:p>
        </w:tc>
        <w:tc>
          <w:tcPr>
            <w:tcW w:type="dxa" w:w="524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5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FI-2010 完整重現；釐清對照論文未說明的 F1 定義；四軸分離實驗設計與執行，含參數配對比較與過擬合診斷</w:t>
            </w:r>
          </w:p>
        </w:tc>
        <w:tc>
          <w:tcPr>
            <w:tcW w:type="dxa" w:w="221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35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6"/>
                <w:szCs w:val="16"/>
              </w:rPr>
              <w:t xml:space="preserve">PyTorch、scikit-learn</w:t>
            </w:r>
          </w:p>
        </w:tc>
      </w:tr>
    </w:tbl>
    <w:p>
      <w:pPr>
        <w:pStyle w:val="1"/>
        <w:spacing w:after="45" w:before="75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1"/>
          <w:szCs w:val="21"/>
        </w:rPr>
        <w:t xml:space="preserve">六、研究方法上的自我檢核</w:t>
      </w:r>
    </w:p>
    <w:p>
      <w:pPr>
        <w:spacing w:after="70" w:line="240"/>
        <w:jc w:val="both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主動複核並推翻自身的有利結論。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 專題中期曾得出「遞迴架構較前饋為快」的結論。本人另行執行公平性稽核，發現該比較混用了驗證層級——以遞迴側的完整驗證數字對比前饋側的 C 合成估計值——遂修正為資源效率而非速度。稽核文件與修正前後措辭均保留。</w:t>
      </w:r>
    </w:p>
    <w:p>
      <w:pPr>
        <w:spacing w:after="30" w:line="240"/>
        <w:jc w:val="both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為否定結果保留完整篇幅。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 報告列出六項明確證偽的假設，四項為本人原先預期會成立者。例如「放大模型可縮小與對照模型的差距」：容量軸放大 11.2 倍、表徵軸 9.6 倍，效能均不升反降，並伴隨明確的過擬合特徵。</w:t>
      </w:r>
    </w:p>
    <w:p>
      <w:pPr>
        <w:spacing w:after="70" w:line="240"/>
        <w:jc w:val="both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界定資料本身的方法論邊界。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 原預期證明「延遲越低、任務價值越高」。本人發現所用期貨資料的時間戳精度僅至毫秒，物理上不可能支持微秒級因果宣稱，遂改為界定「需要何種資料方能回答此問題」，並取得奈秒級公開資料執行量級參考量測。</w:t>
      </w:r>
    </w:p>
    <w:p>
      <w:pPr>
        <w:pStyle w:val="1"/>
        <w:spacing w:after="45" w:before="75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1"/>
          <w:szCs w:val="21"/>
        </w:rPr>
        <w:t xml:space="preserve">七、研究限制</w:t>
      </w:r>
    </w:p>
    <w:p>
      <w:pPr>
        <w:spacing w:after="60" w:line="230"/>
        <w:jc w:val="both"/>
      </w:pPr>
      <w:r>
        <w:rPr>
          <w:rFonts w:ascii="Microsoft JhengHei" w:cs="Microsoft JhengHei" w:eastAsia="Microsoft JhengHei" w:hAnsi="Microsoft JhengHei"/>
          <w:b/>
          <w:bCs/>
          <w:sz w:val="18"/>
          <w:szCs w:val="18"/>
        </w:rPr>
        <w:t xml:space="preserve">（1）</w:t>
      </w: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產出為推論核心（IP），研究範圍不含網路介面、行情解碼與訂單管理，與端到端系統不屬同一範圍。　</w:t>
      </w:r>
      <w:r>
        <w:rPr>
          <w:rFonts w:ascii="Microsoft JhengHei" w:cs="Microsoft JhengHei" w:eastAsia="Microsoft JhengHei" w:hAnsi="Microsoft JhengHei"/>
          <w:b/>
          <w:bCs/>
          <w:sz w:val="18"/>
          <w:szCs w:val="18"/>
        </w:rPr>
        <w:t xml:space="preserve">（2）</w:t>
      </w: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延遲數字由布局繞線後靜態時序與 RTL 協同模擬週期數推導而得，未實作晶片內週期計數器；功耗為工具的無向量估計，非實體量測。　</w:t>
      </w:r>
      <w:r>
        <w:rPr>
          <w:rFonts w:ascii="Microsoft JhengHei" w:cs="Microsoft JhengHei" w:eastAsia="Microsoft JhengHei" w:hAnsi="Microsoft JhengHei"/>
          <w:b/>
          <w:bCs/>
          <w:sz w:val="18"/>
          <w:szCs w:val="18"/>
        </w:rPr>
        <w:t xml:space="preserve">（3）</w:t>
      </w: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遞迴與前饋的配對比較已於同等驗證層級完成，但前饋側的加速線未推進至同等層級（最快的 50.36 µs 僅達 C 合成），故不宣稱前饋無法更快。　</w:t>
      </w:r>
      <w:r>
        <w:rPr>
          <w:rFonts w:ascii="Microsoft JhengHei" w:cs="Microsoft JhengHei" w:eastAsia="Microsoft JhengHei" w:hAnsi="Microsoft JhengHei"/>
          <w:b/>
          <w:bCs/>
          <w:sz w:val="18"/>
          <w:szCs w:val="18"/>
        </w:rPr>
        <w:t xml:space="preserve">（4）</w:t>
      </w: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兩個上板版本中，最接近決策邊界的事件其邊際僅 0 LSB；「決策翻轉為 0」依賴實測差異極小且未落在這些臨界事件上，而非決策本身具寬裕容錯空間。</w:t>
      </w:r>
    </w:p>
    <w:sectPr>
      <w:pgSz w:w="11906" w:h="16838" w:orient="portrait"/>
      <w:pgMar w:top="892" w:right="892" w:bottom="648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2026-10-05T02:32:36.949Z</dcterms:created>
  <dcterms:modified xsi:type="dcterms:W3CDTF">2026-10-05T02:32:36.950Z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