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專題報告摘要與貢獻說明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入門級 FPGA 上金融資料跨時間步遞迴推論核心的可達邊界</w:t>
      </w:r>
      <w:r>
        <w:rPr>
          <w:rFonts w:ascii="Microsoft JhengHei" w:cs="Microsoft JhengHei" w:eastAsia="Microsoft JhengHei" w:hAnsi="Microsoft JhengHei"/>
        </w:rPr>
        <w:br/>
        <w:t xml:space="preserve"/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——從模型到實體電路的完整驗證鏈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一、專題簡介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本專題於一塊入門等級的 FPGA 開發板上，實作並驗證一顆處理金融委託簿資料的遞迴神經網路推論核心，並量測此類設計在資源受限平台上的可達邊界。採用平台為 PYNQ-Z2（Xilinx Zynq-7020），具 53,200 個查找表、220 顆 DSP 與 280 塊 BRAM，屬該系列中資源最少的等級之一。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輸入為台灣指數期貨限價委託簿的即時狀態，共 16 維因果微結構特徵（買賣價差、各檔掛單量、佇列不平衡、近期波動與事件密度，及上述各量的變化率），嚴格僅使用決策時點之前可觀測的資訊；輸出為三選一的報價決策：掛買單、掛賣單、或不報價。資料來源為逐筆 L2 原始檔，約 1,300 萬筆可報價事件。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模型命名為 PHC-lite，共 1,731 個參數、隱藏狀態維度 16，簡化自一個生物啟發的脈衝狀態空間模型。原模型的脈衝神經元動態、多區域分層拓樸、單一時間步內的多輪收斂迴圈與推論期線上權重更新，在資源受限的 FPGA 上或使資源用量遠超預算、或引入非確定性的執行時間，均予移除。保留三個可被定點電路實現的機制：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門控（gate）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——以一個 Sigmoid 輸出決定當前輸入有多少進入狀態；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衰減（decay）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——舊狀態乘上一個 0–1 係數後與新資訊合併，構成有時間常數的短期記憶；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狀態相依增益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——由當前狀態算出一個係數，調節交互項的強度。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單步推論被展開為九個固定順序的運算，其中第四步「合併衰減後的舊記憶與閘控後的新候選」之輸出，即為下一時間步的狀態輸入。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這條回授路徑是本專題全部硬體困難的來源，也是模型有效性的來源。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消融實驗顯示，切斷此回授後訊號在三個樣本外切分上分別下降 80 萬、190 萬與 78 萬元，完全崩潰；但在硬體上，狀態回授使起始間隔趨近於延遲本身，推論無法跨事件管線化。相對地，此模型的狀態僅 16 個數值（複雜度 O(1)），可完全展開於暫存器而不需使用 BRAM——這是它能被實作於此等級元件的關鍵條件。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量測項目與主要結果：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單筆推論延遲 83.160 µs → 5.300 µs（15.69 倍）；每次推論能耗 29.69 µJ → 2.38 µJ（12.5 倍）；可達邊界止於 3.830 µs，受限於需 452 顆 DSP 而平台僅 220 顆；相同條件下遞迴架構較前饋快 3.33 倍，BRAM 用量 0% 對 23.57%。另量測加速所付出的任務品質代價、自動化高階合成工具鏈的可用性、實體晶片上的數值等價性，以及推論核心本身是否為效能的限制因素——方法見第二節，結果與論據見第三節。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二、各階段之方法與成果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階段一　資料建構與評估協定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自逐筆 L2 原始檔逐事件展開為「此刻可採取的三種動作」之資料集；以 SHA-256 精確比對執行跨五個資料群組的去重；設計五路切分與使用規則，規定開發集方可調參、診斷集僅能檢視結果、最終保留集於專案生命週期中僅開啟一次。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成果：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最終保留集的開啟由程式強制——載入前逐項驗證九項凍結設定，任一項不符即中止。另量化出一項影響後續全部評估的事實：若以「假設掛單必定成交」的天真指標計算，獲利的 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99.42–99.999%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僅來自買賣價差本身的機械性價差，與模型的預測能力無關。故全部效能主張改以逐筆模擬成交（含成交機率與庫存上限）的保守口徑報告。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階段二　模型設計與消融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自原模型逐項論證各機制的保留與移除理由，重新設計為單步、純定點、可被高階合成的 PHC-lite，並以消融實驗檢驗各機制的必要性。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成果：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證實時間順序與狀態記憶為必要條件；但「每通道衰減參數必須透過學習取得」此一較強的主張不成立——固定係數 0.9 的結果幾乎打平，兩個切分甚至略優，列為否定結果。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階段三　定點量化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權重與輸入採 ap_fixed&lt;24,12&gt;、累加器採 ap_fixed&lt;40,16&gt;。單一影響最大的決策為將 tanh 與 sigmoid 改以 65 點分段線性查表加線性插值實現。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成果：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若交由高階合成工具預設處理，單次 tanh 呼叫將被合成為雙精度浮點運算核心、約耗用 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2,048 顆 DSP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，而整塊元件僅有 220 顆；改用查表後，合成結果已不再出現任何浮點硬體核心。重尾分布的委託簿特徵則於訓練階段即以對數與截尾壓縮動態範圍，使量化成為訓練時的約束而非事後補救。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階段四　高階合成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先評估自動化工具鏈 hls4ml，五個模型變體全部於 Python 端模型解析階段即失敗。阻擋點為二維 LayerNorm、非標準 padding 的形狀解析，以及符號追蹤無法處理含控制流的前向函式——三者皆與遞迴無關，前饋模型同樣被阻擋。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成果：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改以手動 Vitis HLS 重寫推論運算。第一版於 C 合成階段 DSP 用量達 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2,636%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，經八輪優化收斂至布局繞線後 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21.36%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。為使架構比較成立，另以相同流程完整實作前饋 TCN 對照組並推進至同等驗證層級。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階段五　板級整合與上板驗證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推論核心本身只負責「接收一筆特徵、輸出一組分數」；要讓它在開發板上實際運行，尚需一整組周邊電路。本人以 SystemVerilog 自行撰寫：將 4,096 筆預錄市場事件寫入晶片內記憶體的資料封裝、逐筆餵入核心並接收輸出的控制狀態機、將每筆輸出與軟體答案即時比對的檢查電路，以及時脈產生與時序約束，最後完成布局繞線與 JTAG 燒錄。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成果：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將設計空間曲線的兩端——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訊號品質最佳的版本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與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延遲最低的版本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——分別燒錄至實體 FPGA，各重播 4,096 筆事件（取自真實市場事件最密集的時窗，峰值 1,469 事件／秒），逐筆核對晶片輸出與軟體參考輸出：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016"/>
        <w:gridCol w:w="1411"/>
        <w:gridCol w:w="4838"/>
        <w:gridCol w:w="1814"/>
      </w:tblGrid>
      <w:tr>
        <w:trPr>
          <w:tblHeader/>
        </w:trPr>
        <w:tc>
          <w:tcPr>
            <w:tcW w:type="dxa" w:w="2016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上板版本</w:t>
            </w:r>
          </w:p>
        </w:tc>
        <w:tc>
          <w:tcPr>
            <w:tcW w:type="dxa" w:w="1411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單筆延遲</w:t>
            </w:r>
          </w:p>
        </w:tc>
        <w:tc>
          <w:tcPr>
            <w:tcW w:type="dxa" w:w="4838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晶片輸出與軟體參考的差異</w:t>
            </w:r>
          </w:p>
        </w:tc>
        <w:tc>
          <w:tcPr>
            <w:tcW w:type="dxa" w:w="1814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決策是否改變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訊號品質最佳版</w:t>
            </w:r>
          </w:p>
        </w:tc>
        <w:tc>
          <w:tcPr>
            <w:tcW w:type="dxa" w:w="14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25.733 µs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4,096 筆中有 27 筆相差 1 個最小量化單位（約 0.00024）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0 筆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延遲最低版</w:t>
            </w:r>
          </w:p>
        </w:tc>
        <w:tc>
          <w:tcPr>
            <w:tcW w:type="dxa" w:w="14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5.300 µs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4,096 筆完全相同，位元級一致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0 筆</w:t>
            </w:r>
          </w:p>
        </w:tc>
      </w:tr>
    </w:tbl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最後一欄才是關鍵。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即使輸出數值存在極小差異，只要最終的三選一報價決策未因此改變，硬體與軟體的行為即為等價；兩個版本皆為 0 筆。另為確認該比對電路並非一律放行，於第 17 筆事件刻意注入一個已知錯誤（16 個量化單位），該錯誤於板上被成功偵測。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三、結論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結論一　在最入門等級的 FPGA 上，跨時間步遞迴推論核心的完整驗證鏈可以走完，且其可達邊界能被量化為一個可外推的數字。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單筆推論延遲自 83.160 µs 優化至 5.300 µs（15.69 倍），每次推論能耗自 29.69 µJ 降至 2.38 µJ（12.5 倍）；五個設計點全部通過 RTL 協同模擬與布局繞線時序收斂，曲線兩端並完成實體晶片的逐筆驗證。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再往下的 3.830 µs 設計點，其功能正確性已於 25,600 組測試向量上驗證無誤，受阻的唯一原因是它需要 452 顆 DSP，而本平台只有 220 顆。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這個數字的意義在於它是可外推的：它不是「這個設計做不到更快」，而是「這塊晶片只能到這裡」。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更換 DSP 較多的同代元件即可直接續行，無需重新設計；本專題所量得的是元件的邊界，而非設計能力的邊界。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結論二　在固定大小的元件上，架構選擇的決定因素是狀態能否置於暫存器，而非預測準確率。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在完全配對的條件下——同一顆元件、同一時脈、同一定點格式、同一個訊號來源模型、同一驗證層級——遞迴架構的 22.360 µs 較前饋架構的 74.38 µs 快 3.33 倍，且 BRAM 用量為 0.00% 對 23.57%，代價僅為 1.40 倍的 DSP。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機制如下：遞迴模型的狀態只有 16 個數值，可完全展開於暫存器，因此完全不需使用 BRAM；前饋架構則必須保留一整個時間窗的歷史，只能置於 BRAM，而每塊 BRAM 僅有兩個存取埠，讀取因此被序列化。獨立證據為：將運算展開因子由 1 提高至 4 時，每事件所需週期數僅下降為 2.22 倍而非理想的 4 倍——此一次線性關係正是記憶體埠受限的典型特徵。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此結論的反直覺之處在於：兩種架構在公開基準上的預測能力完全相當（67.58% 對 67.58%）。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選擇遞迴並非因為它較準確，而是因為它在這個尺寸的晶片上較省資源——正是這份餘裕使它能被持續優化到 5.300 µs。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結論三　自動化高階合成工具鏈於此規模不可用，手動實作是必要條件而非方法論偏好。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hls4ml 對五個模型變體的轉換全部在 Python 端的模型解析階段即失敗，沒有任何一個產生出 C++ 專案、進入硬體合成。阻擋點為二維 LayerNorm、非標準 padding 的形狀解析，以及符號追蹤無法處理含控制流的前向函式；三者皆與遞迴結構無關——前饋模型同樣被阻擋。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既有文獻已證明標準的 GRU 與 LSTM 可被該工具自動轉換；本專題量得的則是：一旦層配置偏離主流形狀，其解析器即無法覆蓋。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這解釋了本專題全部硬體工作量的來源：自定點格式設計、非線性函數查表化至八輪資源收斂，皆因無法使用自動化路徑而須逐項手動完成。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結論四　上述邊界是對一個有效模型量測的，而非對一個能力不足的模型量測的。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於 FI-2010 公開基準以四軸分離實驗逐一檢驗模型容量、骨幹架構、評估協定與表徵規模，四個軸全部為否定：在為了可比性而刻意固定的訓練配方下，任何方向的參數擴張都使效能下降，且伴隨明確的過擬合特徵。此步驟的用意在於排除「邊界是對一個做得不夠好的模型量出來的」此一質疑。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四、貢獻說明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本專題由本人獨立完成，涵蓋自原始市場資料至實體晶片的完整技術堆疊。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全部工作依編號 00–08A 分為 67 個實驗階段管理，每階段具獨立的輸入契約、產出與稽核文件，構成如下：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階段群（共 67 階段）</w:t>
            </w:r>
          </w:p>
        </w:tc>
        <w:tc>
          <w:tcPr>
            <w:tcW w:type="dxa" w:w="7056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本人完成的工作與技術棧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資料建構、特徵設計與評估協定凍結（22）</w:t>
            </w:r>
          </w:p>
        </w:tc>
        <w:tc>
          <w:tcPr>
            <w:tcW w:type="dxa" w:w="7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資料集建構；SHA-256 跨群組去重；16 維因果特徵設計與驗證；五路切分與使用規則；九項凍結設定的程式強制驗證；兩種損益口徑的區分與機械性價差成分的量化分解；配對隨機顯著性檢定。｜Python、pandas、統計檢定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模型設計、簡化與消融（11）</w:t>
            </w:r>
          </w:p>
        </w:tc>
        <w:tc>
          <w:tcPr>
            <w:tcW w:type="dxa" w:w="7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PHC-lite 的簡化取捨逐項論證；消融實驗；五階段模型改良；hidden8 與對角化狀態空間兩個降階變體。｜PyTorch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定點量化、手動高階合成與延遲優化（20）</w:t>
            </w:r>
          </w:p>
        </w:tc>
        <w:tc>
          <w:tcPr>
            <w:tcW w:type="dxa" w:w="7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定點格式設計、非線性函數查表化、累加器位寬掃描；自動化工具鏈評估與失敗軌跡記錄；手寫 C++ 推論運算與八輪資源收斂；管線化與陣列分割取捨。｜C++、Vitis HLS、定點算術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前饋對照組的完整實作（9）</w:t>
            </w:r>
          </w:p>
        </w:tc>
        <w:tc>
          <w:tcPr>
            <w:tcW w:type="dxa" w:w="7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以相同流程完整實作 TCN 對照組並推進至同等驗證層級；量得記憶體埠寬受限的機制證據。｜C++、Vitis HLS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板級整合與上板驗證（3）</w:t>
            </w:r>
          </w:p>
        </w:tc>
        <w:tc>
          <w:tcPr>
            <w:tcW w:type="dxa" w:w="7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SystemVerilog 周邊電路、重播狀態機、BRAM 向量封裝、雙寫埠介面與覆蓋驗證、錯誤注入對照；時脈與時序約束；兩個版本的燒錄與各 4,096 筆重播驗證。｜SystemVerilog、Vivado、XDC、TCL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公開基準評估與其他（2）</w:t>
            </w:r>
          </w:p>
        </w:tc>
        <w:tc>
          <w:tcPr>
            <w:tcW w:type="dxa" w:w="7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FI-2010 完整重現；釐清對照論文未說明的 F1 定義；四軸分離實驗設計與執行，含參數配對比較與過擬合診斷。｜PyTorch、scikit-learn</w:t>
            </w:r>
          </w:p>
        </w:tc>
      </w:tr>
    </w:tbl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五、研究方法上的自我檢核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主動複核並推翻自身的有利結論。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專題中期曾得出「遞迴架構較前饋為快」的結論。本人另行執行公平性稽核，發現該比較混用了驗證層級——以遞迴側的完整驗證數字對比前饋側的 C 合成估計值——遂修正為資源效率而非速度。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界定資料本身的方法論邊界。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原預期證明「延遲越低、任務價值越高」。本人發現所用期貨資料的時間戳精度僅至毫秒，物理上不可能支持微秒級因果宣稱，遂改為界定「需要何種資料方能回答此問題」，並取得奈秒級公開資料執行量級參考量測。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六、研究限制</w:t>
      </w:r>
    </w:p>
    <w:p>
      <w:pPr>
        <w:spacing w:after="10" w:line="205"/>
        <w:jc w:val="both"/>
      </w:pPr>
      <w:r>
        <w:rPr>
          <w:rFonts w:ascii="Microsoft JhengHei" w:cs="Microsoft JhengHei" w:eastAsia="Microsoft JhengHei" w:hAnsi="Microsoft JhengHei"/>
          <w:b/>
          <w:bCs/>
          <w:sz w:val="16"/>
          <w:szCs w:val="16"/>
        </w:rPr>
        <w:t xml:space="preserve">（1）</w:t>
      </w:r>
      <w:r>
        <w:rPr>
          <w:rFonts w:ascii="Microsoft JhengHei" w:cs="Microsoft JhengHei" w:eastAsia="Microsoft JhengHei" w:hAnsi="Microsoft JhengHei"/>
          <w:sz w:val="16"/>
          <w:szCs w:val="16"/>
        </w:rPr>
        <w:t xml:space="preserve">產出為推論核心（IP），不含網路介面、行情解碼與訂單管理。</w:t>
      </w:r>
      <w:r>
        <w:rPr>
          <w:rFonts w:ascii="Microsoft JhengHei" w:cs="Microsoft JhengHei" w:eastAsia="Microsoft JhengHei" w:hAnsi="Microsoft JhengHei"/>
          <w:b/>
          <w:bCs/>
          <w:sz w:val="16"/>
          <w:szCs w:val="16"/>
        </w:rPr>
        <w:t xml:space="preserve">　（2）</w:t>
      </w:r>
      <w:r>
        <w:rPr>
          <w:rFonts w:ascii="Microsoft JhengHei" w:cs="Microsoft JhengHei" w:eastAsia="Microsoft JhengHei" w:hAnsi="Microsoft JhengHei"/>
          <w:sz w:val="16"/>
          <w:szCs w:val="16"/>
        </w:rPr>
        <w:t xml:space="preserve">延遲由布局繞線後靜態時序與協同模擬週期數推導而得，未實作晶片內計數器；功耗為估計值。</w:t>
      </w:r>
    </w:p>
    <w:p>
      <w:pPr>
        <w:spacing w:after="0" w:line="205"/>
        <w:jc w:val="both"/>
      </w:pPr>
      <w:r>
        <w:rPr>
          <w:rFonts w:ascii="Microsoft JhengHei" w:cs="Microsoft JhengHei" w:eastAsia="Microsoft JhengHei" w:hAnsi="Microsoft JhengHei"/>
          <w:b/>
          <w:bCs/>
          <w:sz w:val="16"/>
          <w:szCs w:val="16"/>
        </w:rPr>
        <w:t xml:space="preserve">（3）</w:t>
      </w:r>
      <w:r>
        <w:rPr>
          <w:rFonts w:ascii="Microsoft JhengHei" w:cs="Microsoft JhengHei" w:eastAsia="Microsoft JhengHei" w:hAnsi="Microsoft JhengHei"/>
          <w:sz w:val="16"/>
          <w:szCs w:val="16"/>
        </w:rPr>
        <w:t xml:space="preserve">前饋側的加速線未推進至同等驗證層級，故不宣稱前饋無法更快。</w:t>
      </w:r>
      <w:r>
        <w:rPr>
          <w:rFonts w:ascii="Microsoft JhengHei" w:cs="Microsoft JhengHei" w:eastAsia="Microsoft JhengHei" w:hAnsi="Microsoft JhengHei"/>
          <w:b/>
          <w:bCs/>
          <w:sz w:val="16"/>
          <w:szCs w:val="16"/>
        </w:rPr>
        <w:t xml:space="preserve">　（4）</w:t>
      </w:r>
      <w:r>
        <w:rPr>
          <w:rFonts w:ascii="Microsoft JhengHei" w:cs="Microsoft JhengHei" w:eastAsia="Microsoft JhengHei" w:hAnsi="Microsoft JhengHei"/>
          <w:sz w:val="16"/>
          <w:szCs w:val="16"/>
        </w:rPr>
        <w:t xml:space="preserve">兩版最接近決策邊界的事件其邊際僅 0 LSB，決策等價性依賴實測差異極小。</w:t>
      </w:r>
    </w:p>
    <w:sectPr>
      <w:pgSz w:w="11906" w:h="16838" w:orient="portrait"/>
      <w:pgMar w:top="720" w:right="892" w:bottom="431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2026-10-05T02:48:45.517Z</dcterms:created>
  <dcterms:modified xsi:type="dcterms:W3CDTF">2026-10-05T02:48:45.517Z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