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Microsoft YaHei"/>
          <w:b/>
          <w:color w:val="1F4D78"/>
          <w:sz w:val="48"/>
        </w:rPr>
        <w:t>项目进展与下一阶段规划书</w:t>
      </w:r>
    </w:p>
    <w:p>
      <w:pPr>
        <w:spacing w:after="320"/>
      </w:pPr>
      <w:r>
        <w:rPr>
          <w:rFonts w:ascii="Calibri" w:hAnsi="Calibri" w:eastAsia="Microsoft YaHei"/>
          <w:color w:val="5F6B76"/>
          <w:sz w:val="27"/>
        </w:rPr>
        <w:t>依赖图驱动的双 Agent 自然语言数学证明审计与局部修复 Harness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版本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v1.0 · 基于 2026-08-18 仓库状态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用途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新协作者入组、任务分配、能力边界与下一阶段执行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事实来源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Git 历史、PROJECT_INDEX.md、ROADMAP.md、里程碑文档、机器清单与测试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核心结论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工程闭环已形成；正式独立实验、外部证据与论文级验收尚未闭合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当前判断  </w:t>
            </w:r>
            <w:r>
              <w:rPr>
                <w:rFonts w:ascii="Calibri" w:hAnsi="Calibri" w:eastAsia="Microsoft YaHei"/>
                <w:color w:val="1F4D78"/>
                <w:sz w:val="21"/>
              </w:rPr>
              <w:t>项目已经从概念方案推进到 M0–M8 的完整工程骨架，并完成 50 题交互式诊断、反例、修复和九方法评测链路；但它仍是工程与研究候选，而不是已经完成独立盲测并可直接宣称性能优势的论文结果。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项目目标与边界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项目目标是审计已有自然语言数学证明，而不是自主求解开放问题。系统将证明拆成节点和依赖图，由 Evaluator 定位第一处失败并生成结构化错误或反例证书，由 Repair Generator 提交最小局部补丁，再由独立 Evaluator 复核，Controller 负责版本、撤销、回滚、重试和可复现账本。</w:t>
      </w:r>
    </w:p>
    <w:p>
      <w:pPr>
        <w:pStyle w:val="Heading2"/>
        <w:keepNext/>
      </w:pPr>
      <w:r>
        <w:t>1.1 可以合理追求的成果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可追踪的自然语言证明节点、依赖边、局部义务和第一处错误定位。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结构化 ErrorCertificate、CounterexampleCertificate、PatchProposal 与 PatchReview。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假命题识别、局部补丁、后代失效和多轮连续修复。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统一的基线、消融、预算、运行账本、失败计分和复现清单。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面向代数及后续受控扩展领域的专家可审 benchmark 和工程系统。</w:t>
      </w:r>
    </w:p>
    <w:p>
      <w:pPr>
        <w:pStyle w:val="Heading2"/>
        <w:keepNext/>
      </w:pPr>
      <w:r>
        <w:t>1.2 当前不能声称的成果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不能声称自然语言 Agent 的接受等价于 Lean/Coq 等形式证明。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不能把未找到反例当成命题正确的证明。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不能把交互式投影或共享历史预测称为九组独立模型实验。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不能声称 Full System 已显著优于基线，除非完成独立 Provider 运行和预注册统计。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不能伪造独立审核身份、签名、模型快照、response ID、token、延迟、成本或账单证据。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不能把用户允许继续工程执行解释为科学结论门已经通过。</w:t>
      </w:r>
    </w:p>
    <w:p>
      <w:pPr>
        <w:pStyle w:val="Heading1"/>
        <w:keepNext/>
      </w:pPr>
      <w:r>
        <w:t>2. 当前系统已经具备的闭环</w:t>
      </w:r>
    </w:p>
    <w:p>
      <w:pPr>
        <w:pStyle w:val="ListNumber"/>
        <w:numPr>
          <w:ilvl w:val="0"/>
          <w:numId w:val="10"/>
        </w:numPr>
        <w:spacing w:after="100" w:line="264" w:lineRule="auto"/>
      </w:pPr>
      <w:r>
        <w:rPr>
          <w:rFonts w:ascii="Calibri" w:hAnsi="Calibri" w:eastAsia="Microsoft YaHei"/>
          <w:sz w:val="21"/>
        </w:rPr>
        <w:t>M2/M3：从 50 题 Gold 与模型输出形成证明级和节点级诊断。</w:t>
      </w:r>
    </w:p>
    <w:p>
      <w:pPr>
        <w:pStyle w:val="ListNumber"/>
        <w:numPr>
          <w:ilvl w:val="0"/>
          <w:numId w:val="10"/>
        </w:numPr>
        <w:spacing w:after="100" w:line="264" w:lineRule="auto"/>
      </w:pPr>
      <w:r>
        <w:rPr>
          <w:rFonts w:ascii="Calibri" w:hAnsi="Calibri" w:eastAsia="Microsoft YaHei"/>
          <w:sz w:val="21"/>
        </w:rPr>
        <w:t>M4：对局部或全局反例执行 A→B→A 的上下文冻结、精确执行和复核闭环。</w:t>
      </w:r>
    </w:p>
    <w:p>
      <w:pPr>
        <w:pStyle w:val="ListNumber"/>
        <w:numPr>
          <w:ilvl w:val="0"/>
          <w:numId w:val="10"/>
        </w:numPr>
        <w:spacing w:after="100" w:line="264" w:lineRule="auto"/>
      </w:pPr>
      <w:r>
        <w:rPr>
          <w:rFonts w:ascii="Calibri" w:hAnsi="Calibri" w:eastAsia="Microsoft YaHei"/>
          <w:sz w:val="21"/>
        </w:rPr>
        <w:t>M5：针对当前节点版本生成最小补丁，独立审核后事务式应用，并使全部受影响后代失效。</w:t>
      </w:r>
    </w:p>
    <w:p>
      <w:pPr>
        <w:pStyle w:val="ListNumber"/>
        <w:numPr>
          <w:ilvl w:val="0"/>
          <w:numId w:val="10"/>
        </w:numPr>
        <w:spacing w:after="100" w:line="264" w:lineRule="auto"/>
      </w:pPr>
      <w:r>
        <w:rPr>
          <w:rFonts w:ascii="Calibri" w:hAnsi="Calibri" w:eastAsia="Microsoft YaHei"/>
          <w:sz w:val="21"/>
        </w:rPr>
        <w:t>M5 v0.2：修复首错后若后代暴露新错误，继续为新的首错生成证书，而不是过早判定不可修复。</w:t>
      </w:r>
    </w:p>
    <w:p>
      <w:pPr>
        <w:pStyle w:val="ListNumber"/>
        <w:numPr>
          <w:ilvl w:val="0"/>
          <w:numId w:val="10"/>
        </w:numPr>
        <w:spacing w:after="100" w:line="264" w:lineRule="auto"/>
      </w:pPr>
      <w:r>
        <w:rPr>
          <w:rFonts w:ascii="Calibri" w:hAnsi="Calibri" w:eastAsia="Microsoft YaHei"/>
          <w:sz w:val="21"/>
        </w:rPr>
        <w:t>M6：将九种方法、50 个样本、预算、账本和指标统一到可复现评测框架。</w:t>
      </w:r>
    </w:p>
    <w:p>
      <w:pPr>
        <w:pStyle w:val="ListNumber"/>
        <w:numPr>
          <w:ilvl w:val="0"/>
          <w:numId w:val="10"/>
        </w:numPr>
        <w:spacing w:after="100" w:line="264" w:lineRule="auto"/>
      </w:pPr>
      <w:r>
        <w:rPr>
          <w:rFonts w:ascii="Calibri" w:hAnsi="Calibri" w:eastAsia="Microsoft YaHei"/>
          <w:sz w:val="21"/>
        </w:rPr>
        <w:t>M7/M8：已有正式候选数据治理、运行门、错误分析、论文和发布审查骨架。</w:t>
      </w:r>
    </w:p>
    <w:p>
      <w:pPr>
        <w:pStyle w:val="Heading1"/>
        <w:keepNext/>
      </w:pPr>
      <w:r>
        <w:t>3. M0–M8 真实进度总览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880"/>
        <w:gridCol w:w="1800"/>
        <w:gridCol w:w="3960"/>
      </w:tblGrid>
      <w:tr>
        <w:trPr>
          <w:tblHeader w:val="true"/>
        </w:trP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完成内容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当前状态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尚缺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范围、术语、研究问题、负向边界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工程契约已冻结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严格双盲独立性无法追溯；如论文要求需前瞻重做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共享 Schema、状态机、版本与 Controller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工程完成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新一轮真实 A/B 签署视发布要求补充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50 题 pilot、双人标注、裁决与 Gold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5E3B"/>
                <w:sz w:val="18"/>
              </w:rPr>
              <w:t>已完成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来源、盲态和外部可发布证据仍需按正式标准强化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Evaluator v1、50 题运行、指标与集成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工程完成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历史运行非盲；分割 Gold、隔离模块运行和 Provider 证据不足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反例证书、精确核验、A/B/Controller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工程完成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双外部复核、语义忠实性和前瞻盲测未完成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Repair、版本、回滚、后代重验、多轮修复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交互式工程完成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正式 Provider pilot、独立补丁复核、成本与外部代码审查未完成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M6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九方法基线/消融、预算、账本、评分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交互式工程完成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九方法未独立运行；正式显著性和科学比较未完成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M7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50 题交互式扩展、OPC-250 候选治理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部分完成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独立 A/B Gold、裁决、入口门和 Provider 原始记录阻塞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M8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错误分析、论文与发布门骨架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工程审查候选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论文核心主张、外部复现、发布权利和正式 release 均未完成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已经取得的可量化结果</w:t>
      </w:r>
    </w:p>
    <w:p>
      <w:pPr>
        <w:pStyle w:val="Heading2"/>
        <w:keepNext/>
      </w:pPr>
      <w:r>
        <w:t>4.1 数据与诊断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M2 已形成 50 题 pilot Gold；M3 已形成完整诊断与节点/依赖评估产物。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M4 对冻结 benchmark 中 11 个有效反例完成工程批量验收。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这些结果可作为工程回归证据，但历史 Gold 暴露与盲态限制必须保留。</w:t>
      </w:r>
    </w:p>
    <w:p>
      <w:pPr>
        <w:pStyle w:val="Heading2"/>
        <w:keepNext/>
      </w:pPr>
      <w:r>
        <w:t>4.2 M5 修复处置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1800"/>
        <w:gridCol w:w="5400"/>
      </w:tblGrid>
      <w:tr>
        <w:trPr>
          <w:tblHeader w:val="true"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数量/结果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来源案例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50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完整 pilot 范围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无需补丁的有效案例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14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保持原证明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需要 M5 处置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36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均有人工决策与完成记录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接受修复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24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交互式工程范围内完成审核和重验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原命题假或无定义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12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正确终止为不可修复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交互式 false repair / 新错误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0 / 0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仅适用于现有审核材料，不代表未知数据泛化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M6 交互式工程指标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60"/>
        <w:gridCol w:w="2160"/>
        <w:gridCol w:w="4440"/>
      </w:tblGrid>
      <w:tr>
        <w:trPr>
          <w:tblHeader w:val="true"/>
        </w:trPr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结果</w:t>
            </w:r>
          </w:p>
        </w:tc>
        <w:tc>
          <w:tcPr>
            <w:tcW w:type="dxa" w:w="4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证据边界</w:t>
            </w:r>
          </w:p>
        </w:tc>
      </w:tr>
      <w:tr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首错精确定位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27/37 = 72.97%</w:t>
            </w:r>
          </w:p>
        </w:tc>
        <w:tc>
          <w:tcPr>
            <w:tcW w:type="dxa" w:w="44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来自共享历史预测</w:t>
            </w:r>
          </w:p>
        </w:tc>
      </w:tr>
      <w:tr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无首错位置假阳性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0/12</w:t>
            </w:r>
          </w:p>
        </w:tc>
        <w:tc>
          <w:tcPr>
            <w:tcW w:type="dxa" w:w="44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工程投影</w:t>
            </w:r>
          </w:p>
        </w:tc>
      </w:tr>
      <w:tr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错误证明误接受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0/26</w:t>
            </w:r>
          </w:p>
        </w:tc>
        <w:tc>
          <w:tcPr>
            <w:tcW w:type="dxa" w:w="44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工程投影</w:t>
            </w:r>
          </w:p>
        </w:tc>
      </w:tr>
      <w:tr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假命题检测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11/11</w:t>
            </w:r>
          </w:p>
        </w:tc>
        <w:tc>
          <w:tcPr>
            <w:tcW w:type="dxa" w:w="44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依赖已有诊断/反例处置</w:t>
            </w:r>
          </w:p>
        </w:tc>
      </w:tr>
      <w:tr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证明弃权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1/50 = 2%</w:t>
            </w:r>
          </w:p>
        </w:tc>
        <w:tc>
          <w:tcPr>
            <w:tcW w:type="dxa" w:w="44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与基础设施失败分开</w:t>
            </w:r>
          </w:p>
        </w:tc>
      </w:tr>
      <w:tr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已审核修复成功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24/24</w:t>
            </w:r>
          </w:p>
        </w:tc>
        <w:tc>
          <w:tcPr>
            <w:tcW w:type="dxa" w:w="44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消费 M5 人工审核结果</w:t>
            </w:r>
          </w:p>
        </w:tc>
      </w:tr>
      <w:tr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false repair / 新错误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0/24 / 0/24</w:t>
            </w:r>
          </w:p>
        </w:tc>
        <w:tc>
          <w:tcPr>
            <w:tcW w:type="dxa" w:w="44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不是新数据上的独立模型实验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解释限制  </w:t>
            </w:r>
            <w:r>
              <w:rPr>
                <w:rFonts w:ascii="Calibri" w:hAnsi="Calibri" w:eastAsia="Microsoft YaHei"/>
                <w:color w:val="7A5A00"/>
                <w:sz w:val="21"/>
              </w:rPr>
              <w:t>M6 的 50×9=450 个终态验证了配置、账本、评分和失败语义，但九种方法共享底层历史预测。因此不能用当前数字计算或宣称 Full System 对基线的真实提升。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当前真正能做与暂时不能做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3960"/>
        <w:gridCol w:w="4080"/>
      </w:tblGrid>
      <w:tr>
        <w:trPr>
          <w:tblHeader w:val="true"/>
        </w:trPr>
        <w:tc>
          <w:tcPr>
            <w:tcW w:type="dxa" w:w="1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现在可以做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现在不能可靠做</w:t>
            </w:r>
          </w:p>
        </w:tc>
      </w:tr>
      <w:tr>
        <w:tc>
          <w:tcPr>
            <w:tcW w:type="dxa" w:w="13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工程开发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继续改进 Controller、Schema、测试、数据校验、运行器和报告</w:t>
            </w:r>
          </w:p>
        </w:tc>
        <w:tc>
          <w:tcPr>
            <w:tcW w:type="dxa" w:w="40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原地修改冻结资产或为通过测试重写历史证据</w:t>
            </w:r>
          </w:p>
        </w:tc>
      </w:tr>
      <w:tr>
        <w:tc>
          <w:tcPr>
            <w:tcW w:type="dxa" w:w="13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数学审计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在现有协议下做节点、首错、反例和补丁复核</w:t>
            </w:r>
          </w:p>
        </w:tc>
        <w:tc>
          <w:tcPr>
            <w:tcW w:type="dxa" w:w="40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把模型一致意见当作绝对数学证明</w:t>
            </w:r>
          </w:p>
        </w:tc>
      </w:tr>
      <w:tr>
        <w:tc>
          <w:tcPr>
            <w:tcW w:type="dxa" w:w="13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M5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扩展交互式案例、改进连续修复、准备真实 pilot</w:t>
            </w:r>
          </w:p>
        </w:tc>
        <w:tc>
          <w:tcPr>
            <w:tcW w:type="dxa" w:w="40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声称已有生产模型成功率、真实成本或外部独立验收</w:t>
            </w:r>
          </w:p>
        </w:tc>
      </w:tr>
      <w:tr>
        <w:tc>
          <w:tcPr>
            <w:tcW w:type="dxa" w:w="13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M6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运行 fixture、检查预算/缓存/分母、准备 Provider runner</w:t>
            </w:r>
          </w:p>
        </w:tc>
        <w:tc>
          <w:tcPr>
            <w:tcW w:type="dxa" w:w="40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基于共享预测报告显著性或消融因果效果</w:t>
            </w:r>
          </w:p>
        </w:tc>
      </w:tr>
      <w:tr>
        <w:tc>
          <w:tcPr>
            <w:tcW w:type="dxa" w:w="13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M7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完善 OPC-250 候选、许可、去重、Gold 流程</w:t>
            </w:r>
          </w:p>
        </w:tc>
        <w:tc>
          <w:tcPr>
            <w:tcW w:type="dxa" w:w="40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在独立 Gold 与入口门未闭合前启动正式主实验</w:t>
            </w:r>
          </w:p>
        </w:tc>
      </w:tr>
      <w:tr>
        <w:tc>
          <w:tcPr>
            <w:tcW w:type="dxa" w:w="13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M8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写方法、系统设计、限制和工程结果草稿</w:t>
            </w:r>
          </w:p>
        </w:tc>
        <w:tc>
          <w:tcPr>
            <w:tcW w:type="dxa" w:w="40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提交带有未验证性能主张的最终论文或正式 release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下一阶段优先计划</w:t>
      </w:r>
    </w:p>
    <w:p>
      <w:pPr>
        <w:pStyle w:val="Heading2"/>
        <w:keepNext/>
      </w:pPr>
      <w:r>
        <w:t>优先级 P0：统一事实与修复状态漂移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执行全仓库只读状态审计，列出 README、ROADMAP、PROJECT_INDEX、机器 manifest 之间的冲突。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冻结一个新的“当前状态快照”，不重写历史版本；对已知哈希漂移用新 manifest 或勘误处理。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为 M5/M6/M7 分别建立工程完成、执行放行、科学验收三个独立状态字段。</w:t>
      </w:r>
    </w:p>
    <w:p>
      <w:pPr>
        <w:pStyle w:val="Heading2"/>
        <w:keepNext/>
      </w:pPr>
      <w:r>
        <w:t>优先级 P1：补齐真实 M5/M6 运行链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确定真实 Provider、模型快照、采样参数、统一截断器和价格表。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运行小规模 M5 Repair Generator pilot，保存每次 attempt、response ID、token、延迟、重试、失败和成本。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由独立人员复核成功补丁、false repair、新错误和问题改变；身份豁免只影响签名要求，不替代数学复核。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锁定 M6 九方法配置并先做 smoke；通过后再执行独立 9×N 运行，不复用跨方法缓存。</w:t>
      </w:r>
    </w:p>
    <w:p>
      <w:pPr>
        <w:pStyle w:val="Heading2"/>
        <w:keepNext/>
      </w:pPr>
      <w:r>
        <w:t>优先级 P2：正式 Gold 与实验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完成 OPC-250 候选的独立 A/B 标注、分歧裁决、全量 Gold 和泄漏审计。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在看正式结果前冻结 RQ、主指标、预算、比较族、功效输入和统计方案。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运行同模型双角色与至少一组异模型组合；保留全部失败样本并按 intention-to-treat 计分。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完成 bootstrap 区间、配对随机化检验与 Holm 校正，再决定哪些性能主张成立。</w:t>
      </w:r>
    </w:p>
    <w:p>
      <w:pPr>
        <w:pStyle w:val="Heading2"/>
        <w:keepNext/>
      </w:pPr>
      <w:r>
        <w:t>优先级 P3：论文与发布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先写不会因实验结果变化而失效的方法、系统、数据流程和限制章节。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仅将通过正式证据门的指标写入摘要、主表和结论。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完成外部复现、数据许可、隐私/密钥扫描、系统卡、复现命令和发布 manifest。</w:t>
      </w:r>
    </w:p>
    <w:p>
      <w:pPr>
        <w:pStyle w:val="Heading1"/>
        <w:keepNext/>
      </w:pPr>
      <w:r>
        <w:t>7. 新同学建议分工与 30/60/90 天计划</w:t>
      </w:r>
    </w:p>
    <w:p>
      <w:pPr>
        <w:pStyle w:val="Heading2"/>
        <w:keepNext/>
      </w:pPr>
      <w:r>
        <w:t>推荐角色：执行复现与证据完整性协作者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新同学不宜一开始修改数学 Gold 或共享 Schema。最合适的切入点是独立复核工程证据、运行器、账本、缓存和状态一致性，同时逐步熟悉数学协议。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3360"/>
        <w:gridCol w:w="4680"/>
      </w:tblGrid>
      <w:tr>
        <w:trPr>
          <w:tblHeader w:val="true"/>
        </w:trPr>
        <w:tc>
          <w:tcPr>
            <w:tcW w:type="dxa" w:w="1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时间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任务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交付与验收</w:t>
            </w:r>
          </w:p>
        </w:tc>
      </w:tr>
      <w:tr>
        <w:tc>
          <w:tcPr>
            <w:tcW w:type="dxa" w:w="13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第 1–7 天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只读熟悉与状态审计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M0–M8 状态表、权威文件图、冲突清单；不修改代码</w:t>
            </w:r>
          </w:p>
        </w:tc>
      </w:tr>
      <w:tr>
        <w:tc>
          <w:tcPr>
            <w:tcW w:type="dxa" w:w="13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第 2–4 周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复现现有测试和 fixture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独立环境复现记录、失败归因、哈希/依赖问题清单</w:t>
            </w:r>
          </w:p>
        </w:tc>
      </w:tr>
      <w:tr>
        <w:tc>
          <w:tcPr>
            <w:tcW w:type="dxa" w:w="13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第 2 个月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负责 M5/M6 Provider runner 与运行证据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smoke、attempt ledger、token/延迟/成本、失败保留和缓存隔离</w:t>
            </w:r>
          </w:p>
        </w:tc>
      </w:tr>
      <w:tr>
        <w:tc>
          <w:tcPr>
            <w:tcW w:type="dxa" w:w="132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第 3 个月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协助 OPC-250 与正式实验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数据完整性检查、实验矩阵、聚合复算和复现包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协作与变更控制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共享 Schema、Gold、指标定义和正式实验配置必须共同审查。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冻结文件不可原地修改；新增版本必须有迁移说明、勘误或新 manifest。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数学接受权、补丁生成权和 Controller 执行权必须分离。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每个 PR 同时报告结果、文件、测试、契约影响、数学假设、证据强度和限制。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失败样本、重试、超时和无输出必须保留；不得只汇报成功运行。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任何无法从仓库或外部原始记录验证的事实，都必须标为 unknown、pending 或 unavailable。</w:t>
      </w:r>
    </w:p>
    <w:p>
      <w:pPr>
        <w:pStyle w:val="Heading1"/>
        <w:keepNext/>
      </w:pPr>
      <w:r>
        <w:t>9. 新协作者 AI 使用方式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完整可复制提示词已保存于 prompts/collaborator_onboarding_prompt_2026-08-18.md，包含首次接手、具体开发、只读进度审计、数学/Gold 审查、代码/PR 复核和日常续接六种模板。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首次会话  </w:t>
            </w:r>
            <w:r>
              <w:rPr>
                <w:rFonts w:ascii="Calibri" w:hAnsi="Calibri" w:eastAsia="Microsoft YaHei"/>
                <w:color w:val="1F4D78"/>
                <w:sz w:val="21"/>
              </w:rPr>
              <w:t>使用“提示词 A”，要求 AI 只读审计并等待任务。不要一开始让它修改代码、重构目录或更新状态。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日常任务  </w:t>
            </w:r>
            <w:r>
              <w:rPr>
                <w:rFonts w:ascii="Calibri" w:hAnsi="Calibri" w:eastAsia="Microsoft YaHei"/>
                <w:color w:val="1F4D78"/>
                <w:sz w:val="21"/>
              </w:rPr>
              <w:t>使用“提示词 B/F”，必须填写具体目标和验收标准。涉及证明或 Gold 时使用提示词 D；涉及合并审查时使用提示词 E。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完成标准与决策门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以下四层状态必须分别记录，不能相互替代：</w:t>
      </w:r>
    </w:p>
    <w:p>
      <w:pPr>
        <w:pStyle w:val="ListNumber"/>
        <w:numPr>
          <w:ilvl w:val="0"/>
          <w:numId w:val="11"/>
        </w:numPr>
        <w:spacing w:after="100" w:line="264" w:lineRule="auto"/>
      </w:pPr>
      <w:r>
        <w:rPr>
          <w:rFonts w:ascii="Calibri" w:hAnsi="Calibri" w:eastAsia="Microsoft YaHei"/>
          <w:sz w:val="21"/>
        </w:rPr>
        <w:t>实现完成：代码和 Schema 已存在。</w:t>
      </w:r>
    </w:p>
    <w:p>
      <w:pPr>
        <w:pStyle w:val="ListNumber"/>
        <w:numPr>
          <w:ilvl w:val="0"/>
          <w:numId w:val="11"/>
        </w:numPr>
        <w:spacing w:after="100" w:line="264" w:lineRule="auto"/>
      </w:pPr>
      <w:r>
        <w:rPr>
          <w:rFonts w:ascii="Calibri" w:hAnsi="Calibri" w:eastAsia="Microsoft YaHei"/>
          <w:sz w:val="21"/>
        </w:rPr>
        <w:t>工程验证完成：正反测试、fixture、回放和哈希清单通过。</w:t>
      </w:r>
    </w:p>
    <w:p>
      <w:pPr>
        <w:pStyle w:val="ListNumber"/>
        <w:numPr>
          <w:ilvl w:val="0"/>
          <w:numId w:val="11"/>
        </w:numPr>
        <w:spacing w:after="100" w:line="264" w:lineRule="auto"/>
      </w:pPr>
      <w:r>
        <w:rPr>
          <w:rFonts w:ascii="Calibri" w:hAnsi="Calibri" w:eastAsia="Microsoft YaHei"/>
          <w:sz w:val="21"/>
        </w:rPr>
        <w:t>执行证据完成：真实模型、原始调用、预算、失败和成本记录齐全。</w:t>
      </w:r>
    </w:p>
    <w:p>
      <w:pPr>
        <w:pStyle w:val="ListNumber"/>
        <w:numPr>
          <w:ilvl w:val="0"/>
          <w:numId w:val="11"/>
        </w:numPr>
        <w:spacing w:after="100" w:line="264" w:lineRule="auto"/>
      </w:pPr>
      <w:r>
        <w:rPr>
          <w:rFonts w:ascii="Calibri" w:hAnsi="Calibri" w:eastAsia="Microsoft YaHei"/>
          <w:sz w:val="21"/>
        </w:rPr>
        <w:t>科学/发布验收完成：独立 Gold、盲测、预注册统计、外部复现和权利审查通过。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当前项目位置  </w:t>
            </w:r>
            <w:r>
              <w:rPr>
                <w:rFonts w:ascii="Calibri" w:hAnsi="Calibri" w:eastAsia="Microsoft YaHei"/>
                <w:color w:val="7A5A00"/>
                <w:sz w:val="21"/>
              </w:rPr>
              <w:t>M0–M6 多数模块已达到第 2 层；M5/M6 的交互式材料部分覆盖第 3 层的流程形状，但缺少正式 Provider 原始证据；M7/M8 尚未达到第 4 层。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A：新同学入组检查清单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已克隆正确 GitHub 仓库并记录当前 commit。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已阅读 AGENTS.md、README、PROJECT_INDEX、ROADMAP 和两人工作计划。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能解释 Evaluator、Repair Generator、Controller 的权限边界。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能区分 accepted、invalid、undetermined、stale、irreparable。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能说明修改节点为何必须使后代失效。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能说明 M6 的 450 条终态为何不能证明九方法性能差异。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能指出 M5/M6/M7 当前缺少的真实外部证据。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第一次提交不修改冻结 Gold、历史 manifest 或共享 Schema。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sz w:val="21"/>
        </w:rPr>
        <w:t>提交包含正反测试、实际输出和限制说明。</w:t>
      </w:r>
    </w:p>
    <w:p>
      <w:pPr>
        <w:pStyle w:val="Heading1"/>
        <w:keepNext/>
      </w:pPr>
      <w:r>
        <w:t>附录 B：权威入口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入口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PROJECT_INDEX.md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项目产物导航和状态索引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ROADMAP.md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M0–M8 当前里程碑状态和退出条件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docs/project_validation_and_acceptance_plan.md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全部验证角色、证据门和验收要求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docs/two_person_work_plan.md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成员 A/B 分工与协作协议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docs/milestones/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每个阶段的权威设计、验收与限制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data/benchmarks/ 与 data/governance/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机器清单、运行产物、审计与授权边界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harness/、schemas/、tests/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实现、契约和可执行验证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prompts/collaborator_onboarding_prompt_2026-08-18.md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新协作者 AI 的六套提示词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7"/>
      </w:rPr>
      <w:t>内部协作版本  ·  2026-08-18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F6B76"/>
        <w:sz w:val="17"/>
      </w:rPr>
      <w:t>WHY-REPAIR  |  项目进展与下一阶段规划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64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