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0" w:name="_GoBack"/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"http://python.jobbole.com/87300/"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>http://python.jobbole.com/87300/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"http://python.jobbole.com/86887/"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>http://python.jobbole.com/86887/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logging框架中主要由四个部分组成：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Loggers: 可供程序直接调用的接口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Handlers: 决定将日志记录分配至正确的目的地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Filters: 提供更细粒度的日志是否输出的判断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Formatters: 制定最终记录打印的格式布局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每个logger都有一个日志的级别。logging中定义了如下级别</w:t>
      </w:r>
    </w:p>
    <w:tbl>
      <w:tblPr>
        <w:tblW w:w="8982" w:type="dxa"/>
        <w:tblInd w:w="-75" w:type="dxa"/>
        <w:tblBorders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2"/>
        <w:gridCol w:w="5310"/>
      </w:tblGrid>
      <w:tr>
        <w:tblPrEx>
          <w:tblBorders>
            <w:top w:val="none" w:color="auto" w:sz="0" w:space="0"/>
            <w:left w:val="none" w:color="auto" w:sz="0" w:space="0"/>
            <w:bottom w:val="single" w:color="E8E8E8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Level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Numeric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8E8E8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2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NOTSET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8E8E8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2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DEBUG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8E8E8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2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INFO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8E8E8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2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WARNING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8E8E8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2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ERROR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8E8E8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2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CRITICAL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single" w:color="E8E8E8" w:sz="6" w:space="0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2E2E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当一个logger收到日志信息后先判断是否符合level，如果决定要处理就将信息传递给Handlers进行处理。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Formatter日志格式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Formatter对象定义了log信息的结构和内容，构造时需要带两个参数：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一个是格式化的模板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fmt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，默认会包含最基本的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level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和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message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一个是格式化的时间样式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datefmt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，默认为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2003-07-08 16:49:45,896 (%Y-%m-%d %H:%M:%S)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fmt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中允许使用的变量可以参考下表。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%(name)s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 Logger的名字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%(levelno)s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 数字形式的日志级别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%(levelname)s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 文本形式的日志级别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%(pathname)s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 调用日志输出函数的模块的完整路径名，可能没有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%(filename)s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 调用日志输出函数的模块的文件名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%(module)s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 调用日志输出函数的模块名|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%(funcName)s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 调用日志输出函数的函数名|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%(lineno)d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 调用日志输出函数的语句所在的代码行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%(created)f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 当前时间，用UNIX标准的表示时间的浮点数表示|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%(relativeCreated)d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 输出日志信息时的，自Logger创建以来的毫秒数|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%(asctime)s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 字符串形式的当前时间。默认格式是“2003-07-08 16:49:45,896”。逗号后面的是毫秒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%(thread)d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 线程ID。可能没有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%(threadName)s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 线程名。可能没有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%(process)d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 进程ID。可能没有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%(message)s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 用户输出的消息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Handler 日志处理器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最常用的是StreamHandler和FileHandler, Handler用于向不同的输出端打log。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Logging包含很多handler, 可能用到的有下面几种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StreamHandler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 instances send error messages to streams (file-like objects).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FileHandler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 instances send error messages to disk files.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RotatingFileHandler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 instances send error messages to disk files, with support for maximum log file sizes and log file rotation.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TimedRotatingFileHandler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 instances send error messages to disk files, rotating the log file at certain timed intervals.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SocketHandler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 instances send error messages to TCP/IP sockets.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DatagramHandler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 instances send error messages to UDP sockets.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SMTPHandler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 instances send error messages to a designated email address.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logging的配置大致有下面几种方式。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通过代码进行完整配置，参考开头的例子，主要是通过getLogger方法实现。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通过代码进行简单配置，下面有例子，主要是通过basicConfig方法实现。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通过配置文件，下面有例子，主要是通过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logging.config.fileConfig(filepath)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logging.basicConfig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basicConfig()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1"/>
          <w:szCs w:val="21"/>
          <w:bdr w:val="none" w:color="auto" w:sz="0" w:space="0"/>
          <w:shd w:val="clear" w:fill="FFFFFF"/>
        </w:rPr>
        <w:t>提供了非常便捷的方式让你配置logging模块并马上开始使用，可以参考下面的例子。</w:t>
      </w:r>
    </w:p>
    <w:tbl>
      <w:tblPr>
        <w:tblW w:w="827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8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"/>
        <w:gridCol w:w="81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AAAAA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AAAAA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AAAAA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AAAAA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AAAAA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AAAAA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AAAAA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AAAAA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AAAAA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AAAAA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AAAAA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AAAAA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808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logging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808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basicConfig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2D7A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level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808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logging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2D7A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NOTSET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808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format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2D7A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LOGGING_FORMAT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2D7A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datefmt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2D7A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DATE_FORMAT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2D7A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filename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DD11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'log/test.log'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2D7A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filemode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6FE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DD11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'a'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5270500" cy="2122170"/>
            <wp:effectExtent l="0" t="0" r="6350" b="11430"/>
            <wp:docPr id="1" name="图片 1" descr="AN]O4U9U_3~MF31OL7M%8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N]O4U9U_3~MF31OL7M%8S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1A75A"/>
    <w:multiLevelType w:val="singleLevel"/>
    <w:tmpl w:val="58E1A75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E1A7D6"/>
    <w:multiLevelType w:val="multilevel"/>
    <w:tmpl w:val="58E1A7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E1A7E1"/>
    <w:multiLevelType w:val="multilevel"/>
    <w:tmpl w:val="58E1A7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E1A81A"/>
    <w:multiLevelType w:val="multilevel"/>
    <w:tmpl w:val="58E1A8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8E1A8AE"/>
    <w:multiLevelType w:val="multilevel"/>
    <w:tmpl w:val="58E1A8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D925CC"/>
    <w:rsid w:val="4D6B51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2017-04-03T02:37:41Z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