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66F85">
      <w:pPr>
        <w:spacing w:before="2500"/>
      </w:pPr>
    </w:p>
    <w:p w14:paraId="1784B96B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A5CD7"/>
          <w:sz w:val="48"/>
          <w:szCs w:val="48"/>
        </w:rPr>
        <w:t>项目运行演示视频</w:t>
      </w:r>
    </w:p>
    <w:p w14:paraId="27CA555E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拍摄脚本</w:t>
      </w:r>
    </w:p>
    <w:p w14:paraId="5BC21C5A">
      <w:pPr>
        <w:spacing w:before="400"/>
      </w:pPr>
    </w:p>
    <w:p w14:paraId="3DE4959D">
      <w:pPr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面向智慧校园的细粒度网络流量监控与安全态势感知系统</w:t>
      </w:r>
    </w:p>
    <w:p w14:paraId="267E424F">
      <w:pPr>
        <w:spacing w:before="1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苏州大学 · 无敌暴龙战队 · 计算机设计大赛 A19</w:t>
      </w:r>
    </w:p>
    <w:p w14:paraId="51CFF459">
      <w:r>
        <w:br w:type="page"/>
      </w:r>
    </w:p>
    <w:p w14:paraId="7BDC2D6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拍摄概览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3"/>
        <w:gridCol w:w="6961"/>
      </w:tblGrid>
      <w:tr w14:paraId="48F5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088743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4FCFB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DA7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976E0A8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视频时长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EDFE404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 分钟左右</w:t>
            </w:r>
          </w:p>
        </w:tc>
      </w:tr>
      <w:tr w14:paraId="3F49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0391F37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分辨率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56973FA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1920×1080（1080p）</w:t>
            </w:r>
          </w:p>
        </w:tc>
      </w:tr>
      <w:tr w14:paraId="1262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BE2B0E9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帧率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97172F6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30fps</w:t>
            </w:r>
          </w:p>
        </w:tc>
      </w:tr>
      <w:tr w14:paraId="35B5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E666737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录制工具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A2A4CAA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OBS Studio / Windows Win+G</w:t>
            </w:r>
          </w:p>
        </w:tc>
      </w:tr>
      <w:tr w14:paraId="774B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B7D5861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系统公网地址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B4174FF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http://8.146.228.64:3000</w:t>
            </w:r>
          </w:p>
        </w:tc>
      </w:tr>
      <w:tr w14:paraId="37E01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94A21FD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浏览器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031415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Chrome 全屏模式（F11），隐藏书签栏</w:t>
            </w:r>
          </w:p>
        </w:tc>
      </w:tr>
      <w:tr w14:paraId="6D1C9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8466F7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缩放比例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7919B42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浏览器 Ctrl+0 恢复 100%</w:t>
            </w:r>
          </w:p>
        </w:tc>
      </w:tr>
    </w:tbl>
    <w:p w14:paraId="625973B8">
      <w:pPr>
        <w:spacing w:before="200"/>
      </w:pPr>
    </w:p>
    <w:p w14:paraId="4104914D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拍摄前准备</w:t>
      </w:r>
    </w:p>
    <w:p w14:paraId="01EC1AF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启动系统，等待演示数据生成（约1分钟），确保所有页面数据正常加载</w:t>
      </w:r>
    </w:p>
    <w:p w14:paraId="48E6313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浏览器全屏（F11），隐藏所有工具栏和书签栏</w:t>
      </w:r>
    </w:p>
    <w:p w14:paraId="1205356A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关闭无关浏览器标签和桌面通知</w:t>
      </w:r>
    </w:p>
    <w:p w14:paraId="764049BF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确认 WebSocket 连接状态：页面左上角应显示"实时连接: 已连接"</w:t>
      </w:r>
    </w:p>
    <w:p w14:paraId="3EF16AC6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录制时使用系统声音录制，关闭其他音频应用</w:t>
      </w:r>
    </w:p>
    <w:p w14:paraId="4F71EF83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鼠标操作放慢速度，避免快速跳转</w:t>
      </w:r>
    </w:p>
    <w:p w14:paraId="3A2EDCE0">
      <w:r>
        <w:br w:type="page"/>
      </w:r>
    </w:p>
    <w:p w14:paraId="161679D4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场景1：系统启动与首页加载（0:00 - 0:25）</w:t>
      </w:r>
    </w:p>
    <w:p w14:paraId="6E73B1BD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展示系统从零启动的过程，验证公网部署的可用性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723C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B81C3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66BC7E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62110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73983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3F08C7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7C0C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118E79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73163A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FC2F6B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浏览器地址栏输入 http://8.146.228.64:3000，回车加载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C0C965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本系统采用前后端分离架构，已部署于阿里云公网服务器。现在打开前端入口地址。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9EC50E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输入地址时稍慢，让观众看清 URL</w:t>
            </w:r>
          </w:p>
        </w:tc>
      </w:tr>
      <w:tr w14:paraId="54B8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73F9B2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3351AA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639AB5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页面加载中 → 全景画像页面完整呈现，4个指标卡片和4个图表可见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4518B3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系统首页为"全景画像"看板，实时展示校园网络整体运行状态。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C36ED6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等待数据完全加载后再继续</w:t>
            </w:r>
          </w:p>
        </w:tc>
      </w:tr>
      <w:tr w14:paraId="65FE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833CC6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66DECA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E6BCCB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左上角 WebSocket 状态显示"已连接"，指标卡片数字实时跳动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3125D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通过 WebSocket 实时推送，指标每2秒自动刷新，无需手动操作。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A98B5B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鼠标悬停在"实时连接"标签上</w:t>
            </w:r>
          </w:p>
        </w:tc>
      </w:tr>
      <w:tr w14:paraId="2766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CCC582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C1BBBB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1397D3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4个顶部指标卡片（总流量/数据包/活跃IP/连接数）数值特写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167D25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当前校园网络有XX个活跃IP、总吞吐量XX GB，数据每2秒实时更新。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23EAD2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逐个指向4个卡片</w:t>
            </w:r>
          </w:p>
        </w:tc>
      </w:tr>
    </w:tbl>
    <w:p w14:paraId="04D7D638">
      <w:r>
        <w:br w:type="page"/>
      </w:r>
    </w:p>
    <w:p w14:paraId="61B339D0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场景2：全景画像 — 全局态势感知（0:25 - 1:30）</w:t>
      </w:r>
    </w:p>
    <w:p w14:paraId="70E37568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 Dashboard 的四个核心图表和区域下钻功能</w:t>
      </w:r>
    </w:p>
    <w:p w14:paraId="051A4A5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2.1 吞吐趋势图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16D6B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C09D5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888EE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2BFB2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D0866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1A83B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43E4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1FD390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398947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D29FD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吞吐趋势折线图，鼠标悬停显示数值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C7FDB2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吞吐趋势图展示过去一段时间内网络流量的变化走势，可以直观发现流量高峰和异常波动。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678B92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鼠标缓慢从左到右滑过曲线</w:t>
            </w:r>
          </w:p>
        </w:tc>
      </w:tr>
    </w:tbl>
    <w:p w14:paraId="77D54CE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2.2 协议分布饼图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5584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34544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3075E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B0DBF8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301716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7A50D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30F1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0D54CF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6A056F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1FC297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协议分布饼图，点击不同扇区高亮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25C30F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协议分布展示当前网络中各应用层协议的占比，如HTTP、DNS、SSH等，帮助识别异常协议活动。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8C045C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点击某个扇区突出显示</w:t>
            </w:r>
          </w:p>
        </w:tc>
      </w:tr>
    </w:tbl>
    <w:p w14:paraId="75C97D8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2.3 区域流量柱状图 + 四级下钻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1A7D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B032E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FF29BE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76E17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04C9B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5E1CE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3E97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A8BA32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39F73E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015D31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区域流量柱状图，点击某个区域柱子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1F1B89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区域流量图按地理区域统计网络流量。现在我们点击"东区"进行下钻。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901A19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缓慢点击某个区域柱子</w:t>
            </w:r>
          </w:p>
        </w:tc>
      </w:tr>
      <w:tr w14:paraId="15E7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25BBA6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EB7DAE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A6ACF0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下钻到楼宇层，显示该区域下各楼宇的流量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76DD98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下钻到楼宇层，可以看到东区中各教学楼的流量分布。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2EF470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等待下钻动画完成</w:t>
            </w:r>
          </w:p>
        </w:tc>
      </w:tr>
      <w:tr w14:paraId="1AC5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87231A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69C68C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C9D2D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继续下钻到交换机层 → 端口层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6CBD39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继续下钻到交换机层和端口层，实现从区域到端口的四级精细化定位。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66FA53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依次点击下钻</w:t>
            </w:r>
          </w:p>
        </w:tc>
      </w:tr>
      <w:tr w14:paraId="0BAC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FD9974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D15E12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B208C4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点击面包屑导航回到区域层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E108F5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通过面包屑导航可以快速返回任意上层。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11BB66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点击面包屑</w:t>
            </w:r>
          </w:p>
        </w:tc>
      </w:tr>
    </w:tbl>
    <w:p w14:paraId="7065E5B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2.4 热力图 + TopFlows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500A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5ECA7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24D99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9D752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BA756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430A5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0B67C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F0D200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4C3124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3B9CC5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流量热力图，颜色深浅表示流量密度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AD9F62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热力图以颜色深浅直观展示各区域的流量密度分布。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481635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鼠标在热力图上移动</w:t>
            </w:r>
          </w:p>
        </w:tc>
      </w:tr>
      <w:tr w14:paraId="1CF33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4BCE2B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427E01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31176A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TopFlows表格，展示当前最活跃的流量连接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56FB14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TopFlows表列出当前最活跃的网络连接，包括源/目的IP、端口、协议和流量大小。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AC4958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鼠标从上到下缓慢扫过表格</w:t>
            </w:r>
          </w:p>
        </w:tc>
      </w:tr>
    </w:tbl>
    <w:p w14:paraId="647574FF">
      <w:r>
        <w:br w:type="page"/>
      </w:r>
    </w:p>
    <w:p w14:paraId="360D7C2B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场景3：安全态势中心（1:30 - 2:50）</w:t>
      </w:r>
    </w:p>
    <w:p w14:paraId="4470E45F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展示安全告警、3D地球可视化、多维筛选和高级算法</w:t>
      </w:r>
    </w:p>
    <w:p w14:paraId="7B9A02C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3.1 安全告警总览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B2C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AA5B2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85D21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D7F96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A5BDB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36B12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395E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AD512B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00C7C9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9D94D0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点击顶部"安全态势"标签，页面切换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F38D7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进入安全态势中心，集中展示所有安全告警和威胁分析结果。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DFBB03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点击"安全态势"按钮</w:t>
            </w:r>
          </w:p>
        </w:tc>
      </w:tr>
      <w:tr w14:paraId="27FFE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FEB4B1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AEE6A4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D7B237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告警表格概览，展示类型/级别/源IP/目标IP/时间等字段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364049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当前系统共检测到XX条安全告警，涵盖DDoS、端口扫描、蠕虫传播等多种威胁类型。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CA57DB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鼠标缓慢扫过表格</w:t>
            </w:r>
          </w:p>
        </w:tc>
      </w:tr>
    </w:tbl>
    <w:p w14:paraId="035AEDA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3.2 3D地球可视化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12EA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98FF0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84001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2CD1C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B932C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981EE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60FB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9BE73D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BF34C2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0BFA55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3D地球全屏展示，攻击点位和攻击路径线可见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30F2C1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3D地球直观展示全球攻击来源分布。蓝色点位为普通告警，红色为严重告警，弧线表示攻击路径。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BA50E5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等待地球渲染完成</w:t>
            </w:r>
          </w:p>
        </w:tc>
      </w:tr>
      <w:tr w14:paraId="6D27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E1317F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DC25C7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970D3B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鼠标拖拽旋转地球，展示不同角度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95F8AB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地球支持鼠标拖拽旋转、滚轮缩放，可以从任意角度观察攻击态势。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D9D30B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缓慢拖拽旋转地球</w:t>
            </w:r>
          </w:p>
        </w:tc>
      </w:tr>
      <w:tr w14:paraId="1D99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4C43D2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603033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05E787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鼠标悬停某个攻击点位，弹出Tooltip显示详情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5E1CBD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悬停攻击点可查看具体威胁类型、严重级别和源IP地址。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87D303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悬停2秒</w:t>
            </w:r>
          </w:p>
        </w:tc>
      </w:tr>
    </w:tbl>
    <w:p w14:paraId="4B2C364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3.3 多维筛选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100F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57507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ADEB5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0993C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0247A9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CC93B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62E9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E69181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8D6983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8FCBF6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筛选区域：选择威胁类型"DDoS"，级别"Critical"，点击查询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D48FC5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系统支持按威胁类型、严重级别、源/目标IP、关键词等多维度组合筛选。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4BC8B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依次选择筛选条件，点击查询</w:t>
            </w:r>
          </w:p>
        </w:tc>
      </w:tr>
      <w:tr w14:paraId="5B7F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8A8C3F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526760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3485E7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筛选结果刷新，仅显示符合条件的告警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82719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筛选后仅显示DDoS类且为严重级别的告警，帮助安全人员快速聚焦关键威胁。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8DCD14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等待结果加载</w:t>
            </w:r>
          </w:p>
        </w:tc>
      </w:tr>
      <w:tr w14:paraId="536C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AE2C17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77C19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9DDFF0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点击"重置"恢复全部告警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B2932C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重置筛选条件，恢复完整告警列表。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CF1324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点击重置按钮</w:t>
            </w:r>
          </w:p>
        </w:tc>
      </w:tr>
    </w:tbl>
    <w:p w14:paraId="0DF323D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>3.4 威胁统计图表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8DC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031449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42A0F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C0F61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35041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433DB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5432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7317B4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9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07D22D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2EFDA7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威胁类型饼图 + 严重级别柱状图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063CBC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左侧饼图展示各威胁类型占比，右侧柱状图展示各严重级别的告警数量。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3AE2A1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鼠标分别悬停在两个图表上</w:t>
            </w:r>
          </w:p>
        </w:tc>
      </w:tr>
      <w:tr w14:paraId="0630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19B274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912C22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5E6D63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自动刷新指示器（10秒间隔）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263605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安全态势页面每10秒自动刷新告警数据，确保安全人员始终掌握最新威胁动态。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9A539D8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等待10秒让自动刷新可见</w:t>
            </w:r>
          </w:p>
        </w:tc>
      </w:tr>
    </w:tbl>
    <w:p w14:paraId="7568370F">
      <w:r>
        <w:br w:type="page"/>
      </w:r>
    </w:p>
    <w:p w14:paraId="70815B0B">
      <w:pPr>
        <w:pStyle w:val="2"/>
        <w:spacing w:before="400" w:after="200"/>
      </w:pPr>
      <w:r>
        <w:t>场景4：重点原创算法演示（2:50 - 4:10）</w:t>
      </w:r>
    </w:p>
    <w:p w14:paraId="1D771230">
      <w:pPr>
        <w:shd w:val="solid" w:color="E3F2FD"/>
        <w:spacing w:before="60" w:after="60"/>
        <w:ind w:left="288" w:right="288"/>
      </w:pPr>
      <w:r>
        <w:t>目标：因答辩时间有限，重点展示原创度最高的两项算法：ThreatCorrelationEngineService 多维威胁关联引擎与 BehaviorFingerprintService 网络行为指纹风险评分；另外两套仅一句带过。</w:t>
      </w:r>
    </w:p>
    <w:p w14:paraId="3B66907D">
      <w:pPr>
        <w:spacing w:before="200" w:after="100"/>
      </w:pPr>
      <w:r>
        <w:t>4.1 MDTCE 多维威胁关联（ThreatCorrelationEngineService，重点展示）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958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B910CD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1CB85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5DA86E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8D48A1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4A6CAD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63B4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7A92F1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1BA706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12s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在“高级分析”区域简要指向 EWMA-EAD 检测入口，不展开结果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EWMA-EAD 作为辅助异常检测能力，用于结合流量偏离与 Shannon 信息熵观察协议/端口分布异常；EWMA 和 Shannon 信息熵属于通用统计方法，本项目只做场景化组合和工程接入。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只停留一句话，不点击展开</w:t>
            </w:r>
          </w:p>
        </w:tc>
      </w:tr>
      <w:tr w14:paraId="56FB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943656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FA0040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不展示详细公式页，直接过渡到重点算法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由于答辩时间有限，这里不展开三因子公式，后续重点展示威胁关联和行为指纹两项原创度更高的工程实现。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快速切到 MDTCE</w:t>
            </w:r>
          </w:p>
        </w:tc>
      </w:tr>
    </w:tbl>
    <w:p w14:paraId="65D3FFB0">
      <w:pPr>
        <w:spacing w:before="200" w:after="100"/>
      </w:pPr>
      <w:r>
        <w:t>4.2 NBF-RS 网络行为指纹（BehaviorFingerprintService，重点展示）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0C0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A2734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CE2F9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C986B2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6515D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5E77B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298E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9FE4BA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E9F3A3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12s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点击“MDTCE 关联分析”按钮，等待结果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第一项重点算法：ThreatCorrelationEngineService 多维威胁关联引擎，把分散告警建模为告警图，并关联为攻击链。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点击按钮，停留展示</w:t>
            </w:r>
          </w:p>
        </w:tc>
      </w:tr>
      <w:tr w14:paraId="4ED95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D47063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9A2CF6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展示关联图结果：攻击链数量、Kill Chain阶段覆盖、链严重度、风险热力汇总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算法通过IP重叠度、时序邻近性和地理接近度计算关联权重，借鉴 Jaccard 相似度、并查集和 Cyber Kill Chain 等通用方法/模型；原创点在告警图建模、攻击链评分流程和校园网络风险热力汇总的组合工程实现。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指向攻击链、阶段覆盖和风险热力</w:t>
            </w:r>
          </w:p>
        </w:tc>
      </w:tr>
    </w:tbl>
    <w:p w14:paraId="5E73D08B">
      <w:pPr>
        <w:spacing w:before="200" w:after="100"/>
      </w:pPr>
      <w:r>
        <w:t>4.3 EWMA-EAD 熵异常检测（辅助分析能力，一句带过）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448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3EF537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77C3EC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F291F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1B803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1E783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17AD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AD34C9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91394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点击“NBF-RS 分析”按钮，展示全IP行为指纹结果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第二项重点算法：BehaviorFingerprintService 网络行为指纹风险评分，为每个IP构建七维行为指纹并输出风险分。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点击按钮，停留展示</w:t>
            </w:r>
          </w:p>
        </w:tc>
      </w:tr>
      <w:tr w14:paraId="43B8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7F8FC3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CC253D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展示某个IP的七维指纹值、风险评分和风险贡献解释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七维包括协议熵、对端多样性、流量不对称、端口分散、时间集中、连接强度和包大小偏差；Shannon 信息熵、Gini 系数等属于通用统计思想，原创点在七维指纹体系、异常敏感归一化、风险贡献解释和校园网场景适配。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指向指纹值、风险分和贡献解释</w:t>
            </w:r>
          </w:p>
        </w:tc>
      </w:tr>
    </w:tbl>
    <w:p w14:paraId="00063A1F">
      <w:pPr>
        <w:spacing w:before="200" w:after="100"/>
      </w:pPr>
      <w:r>
        <w:t>4.4 TPM-PA 时序预测预警（辅助分析能力，一句带过）</w:t>
      </w:r>
    </w:p>
    <w:p>
      <w:r>
        <w:t>口播说明：算法部分不再四套都展开，直接说明“由于答辩时间有限，本段只重点展示原创度最高、最能体现核心创新的 MDTCE 与 NBF-RS”。</w:t>
      </w:r>
    </w:p>
    <w:p>
      <w:r>
        <w:t>原创性边界：原创点在组合设计、评分流程、工程实现和校园网络场景适配；Cyber Kill Chain、Jaccard、并查集、Shannon 信息熵、Gini 系数等属于通用模型/方法或借鉴来源，不能表述为基础方法原创。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7E80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B336BF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59AE39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E0991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BB457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24B8B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5F8D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5E38B9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F35D03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简要指向“TPM-PA 预测”入口，不展开预测曲线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TPM-PA 作为辅助预测预警能力，用趋势残差和跨信号相关观察风险扩散；线性回归、趋势分析属于通用时序方法。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>
            <w:r>
              <w:t>只口播一句，不点击展开</w:t>
            </w:r>
          </w:p>
        </w:tc>
      </w:tr>
      <w:tr w14:paraId="6D6E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8988FA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9D44BB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不展示详细预测结果，继续进入微观流检索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本段不展开四信号公式，避免算法部分过长，保持演示节奏。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快速切到下一场景</w:t>
            </w:r>
          </w:p>
        </w:tc>
      </w:tr>
    </w:tbl>
    <w:p w14:paraId="4DEC39F9">
      <w:r>
        <w:br w:type="page"/>
      </w:r>
    </w:p>
    <w:p w14:paraId="36600EEC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场景5：微观流检索（4:10 - 4:40）</w:t>
      </w:r>
    </w:p>
    <w:p w14:paraId="70A0AC1F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展示细粒度流量检索能力和IP画像跳转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4CBF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004E9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DEB4E5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4CE10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3A472C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94842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14099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C631D8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B6A74D1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30F43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点击顶部"微观流检索"标签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AB1BC5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进入微观流检索页面，支持10个维度的精细检索条件组合。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73E604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点击"微观流检索"</w:t>
            </w:r>
          </w:p>
        </w:tc>
      </w:tr>
      <w:tr w14:paraId="41C4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8A6C06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E16103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51D8B5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输入源IP "192.168.1.100"，目的端口 "80"，点击搜索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2C7C21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例如按源IP和目标端口组合检索，精准定位特定流量。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730D63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缓慢输入搜索条件</w:t>
            </w:r>
          </w:p>
        </w:tc>
      </w:tr>
      <w:tr w14:paraId="4F3E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04C39E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D4E932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CD813C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搜索结果表格，展示匹配的流记录，分页展示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FAE45A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检索结果以分页表格展示，包含完整的流信息：五元组、协议、包数、字节数等。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D972C2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等待结果加载</w:t>
            </w:r>
          </w:p>
        </w:tc>
      </w:tr>
      <w:tr w14:paraId="020F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02075A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4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760A19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5F66B6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点击某条记录中的IP地址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9964E9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点击任意IP地址，系统自动跳转到该IP的详细画像页面。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5C19A8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点击IP链接</w:t>
            </w:r>
          </w:p>
        </w:tc>
      </w:tr>
      <w:tr w14:paraId="3F2D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B9B32D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964783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6s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65C26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页面跳转到"单IP详情"，展示该IP的通信画像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04103D3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系统自动切换到单IP详情页，展示该IP的完整通信画像。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6E449C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等待页面跳转完成</w:t>
            </w:r>
          </w:p>
        </w:tc>
      </w:tr>
    </w:tbl>
    <w:p w14:paraId="539CAD07">
      <w:r>
        <w:br w:type="page"/>
      </w:r>
    </w:p>
    <w:p w14:paraId="0ACCE32E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场景6：单IP详情画像（4:40 - 5:00）</w:t>
      </w:r>
    </w:p>
    <w:p w14:paraId="6CCF74B1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展示单个IP的深度画像分析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35A2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4ED69C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B4859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61746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79BAFD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695C8F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19B9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B8FCF5B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02B4A41A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8s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A99A3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单IP详情页面：顶部IP信息 + 对端趋势图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AEFF34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单IP画像展示该地址的流量趋势和通信行为。趋势图反映该IP随时间的活跃程度。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B57BB8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鼠标在趋势图上滑动</w:t>
            </w:r>
          </w:p>
        </w:tc>
      </w:tr>
      <w:tr w14:paraId="33AF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3C95A692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905DD9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7s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1CFB840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通信对端排名表，展示最频繁通信的对端IP及流量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BEA00E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对端排名表列出该IP最频繁通信的目标地址和流量大小，帮助识别异常通信对象。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2C1DC2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鼠标扫过对端表</w:t>
            </w:r>
          </w:p>
        </w:tc>
      </w:tr>
      <w:tr w14:paraId="0874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860D67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3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7269520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68D4A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最近流记录表，展示该IP最近的网络连接详情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033BA97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最近流记录展示该IP的实时连接情况，包括时间、协议、端口和流量明细。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1B221C5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鼠标扫过流记录表</w:t>
            </w:r>
          </w:p>
        </w:tc>
      </w:tr>
    </w:tbl>
    <w:p w14:paraId="001AB941">
      <w:r>
        <w:br w:type="page"/>
      </w:r>
    </w:p>
    <w:p w14:paraId="4A15A57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场景7：结尾总结（5:00 - 5:15）</w:t>
      </w:r>
    </w:p>
    <w:p w14:paraId="630C461F">
      <w:pPr>
        <w:shd w:val="solid" w:color="E3F2FD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1565C0"/>
          <w:sz w:val="19"/>
          <w:szCs w:val="19"/>
        </w:rPr>
        <w:t>目标：</w:t>
      </w:r>
      <w:r>
        <w:rPr>
          <w:rFonts w:ascii="微软雅黑" w:hAnsi="微软雅黑" w:eastAsia="微软雅黑" w:cs="微软雅黑"/>
          <w:color w:val="1565C0"/>
          <w:sz w:val="19"/>
          <w:szCs w:val="19"/>
        </w:rPr>
        <w:t>简洁收尾，强化系统价值</w:t>
      </w:r>
      <w:bookmarkStart w:id="0" w:name="_GoBack"/>
      <w:bookmarkEnd w:id="0"/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9"/>
        <w:gridCol w:w="747"/>
        <w:gridCol w:w="2614"/>
        <w:gridCol w:w="3547"/>
        <w:gridCol w:w="1867"/>
      </w:tblGrid>
      <w:tr w14:paraId="5946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304DD3F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4D8AF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时长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8026C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画面内容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50ED8D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解说词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1F0A55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7"/>
                <w:szCs w:val="17"/>
              </w:rPr>
              <w:t>操作提示</w:t>
            </w:r>
          </w:p>
        </w:tc>
      </w:tr>
      <w:tr w14:paraId="2574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0389EB6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5F0F34D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10s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AD24C7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回到全景画像页面，展示整体看板全貌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F21797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以上就是我们系统的完整演示。系统实现了从全局态势感知到单IP细粒度画像的全链路安全监控能力。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3536B8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点击"全景画像"回到首页</w:t>
            </w:r>
          </w:p>
        </w:tc>
      </w:tr>
      <w:tr w14:paraId="4354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2E395D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2</w:t>
            </w:r>
          </w:p>
        </w:tc>
        <w:tc>
          <w:tcPr>
            <w:tcW w:w="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66D331E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5s</w:t>
            </w:r>
          </w:p>
        </w:tc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301AEF4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画面定格在全景画像页面2秒</w:t>
            </w:r>
          </w:p>
        </w:tc>
        <w:tc>
          <w:tcPr>
            <w:tcW w:w="19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3B55609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感谢各位评委老师的观看。</w:t>
            </w:r>
          </w:p>
        </w:tc>
        <w:tc>
          <w:tcPr>
            <w:tcW w:w="10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FE398AF">
            <w:r>
              <w:rPr>
                <w:rFonts w:ascii="微软雅黑" w:hAnsi="微软雅黑" w:eastAsia="微软雅黑" w:cs="微软雅黑"/>
                <w:color w:val="1A1A2E"/>
                <w:sz w:val="17"/>
                <w:szCs w:val="17"/>
              </w:rPr>
              <w:t>静止2秒后结束录制</w:t>
            </w:r>
          </w:p>
        </w:tc>
      </w:tr>
    </w:tbl>
    <w:p w14:paraId="5151B4F8">
      <w:pPr>
        <w:spacing w:before="300"/>
      </w:pPr>
    </w:p>
    <w:p w14:paraId="0206F8A1">
      <w:pPr>
        <w:shd w:val="solid" w:color="FFF8E1"/>
        <w:spacing w:before="60" w:after="60"/>
        <w:ind w:left="288" w:right="288"/>
      </w:pPr>
      <w:r>
        <w:rPr>
          <w:rFonts w:ascii="微软雅黑" w:hAnsi="微软雅黑" w:eastAsia="微软雅黑" w:cs="微软雅黑"/>
          <w:b/>
          <w:bCs/>
          <w:color w:val="856404"/>
          <w:sz w:val="19"/>
          <w:szCs w:val="19"/>
        </w:rPr>
        <w:t>提示：</w:t>
      </w:r>
      <w:r>
        <w:rPr>
          <w:rFonts w:ascii="微软雅黑" w:hAnsi="微软雅黑" w:eastAsia="微软雅黑" w:cs="微软雅黑"/>
          <w:color w:val="856404"/>
          <w:sz w:val="19"/>
          <w:szCs w:val="19"/>
        </w:rPr>
        <w:t>结尾不需要出现团队名称和学校信息，答辩PPT中已有。视频专注于系统功能展示。</w:t>
      </w:r>
    </w:p>
    <w:p w14:paraId="64D45C53">
      <w:r>
        <w:br w:type="page"/>
      </w:r>
    </w:p>
    <w:p w14:paraId="532D79E9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>附录：时间轴总览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9"/>
        <w:gridCol w:w="1951"/>
        <w:gridCol w:w="5974"/>
      </w:tblGrid>
      <w:tr w14:paraId="523C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2EE6A4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时间段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430061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1A5CD7" w:fill="auto"/>
          </w:tcPr>
          <w:p w14:paraId="06C8B5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核心展示点</w:t>
            </w:r>
          </w:p>
        </w:tc>
      </w:tr>
      <w:tr w14:paraId="5E55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19180E5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0:00 - 0:25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432F510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系统启动与首页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60FA2415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公网部署验证、WebSocket实时连接、指标卡片</w:t>
            </w:r>
          </w:p>
        </w:tc>
      </w:tr>
      <w:tr w14:paraId="22ED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1EF0E0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0:25 - 1:30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75F2FE73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全景画像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6E710870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4图表 + 区域四级下钻 + TopFlows</w:t>
            </w:r>
          </w:p>
        </w:tc>
      </w:tr>
      <w:tr w14:paraId="6779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3E051C1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1:30 - 2:50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BFFE02F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安全态势中心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6B18307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告警表格 + 3D地球 + 多维筛选 + 威胁统计</w:t>
            </w:r>
          </w:p>
        </w:tc>
      </w:tr>
      <w:tr w14:paraId="778C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2732089B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2:50 - 4:10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重点原创算法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>
            <w:r>
              <w:t>重点展示 MDTCE / NBF-RS，EWMA-EAD / TPM-PA 一句带过</w:t>
            </w:r>
          </w:p>
        </w:tc>
      </w:tr>
      <w:tr w14:paraId="1941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DAD417A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4:10 - 4:40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194E3BF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微观流检索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389C0A47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10维组合检索 + IP跳转画像</w:t>
            </w:r>
          </w:p>
        </w:tc>
      </w:tr>
      <w:tr w14:paraId="3EB6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5F338EDD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4:40 - 5:00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0DE1D074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单IP详情画像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FFFFF" w:fill="auto"/>
          </w:tcPr>
          <w:p w14:paraId="4AF7CA18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趋势图 + 对端排名 + 最近流记录</w:t>
            </w:r>
          </w:p>
        </w:tc>
      </w:tr>
      <w:tr w14:paraId="6016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5056DFAF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5:00 - 5:15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7535B51D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结尾总结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solid" w:color="F5F5F5" w:fill="auto"/>
          </w:tcPr>
          <w:p w14:paraId="2CF3471B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全链路能力回顾</w:t>
            </w:r>
          </w:p>
        </w:tc>
      </w:tr>
    </w:tbl>
    <w:p w14:paraId="47499CCB">
      <w:pPr>
        <w:spacing w:before="300"/>
      </w:pPr>
    </w:p>
    <w:p w14:paraId="2A84D909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1A1A2E"/>
          <w:sz w:val="26"/>
          <w:szCs w:val="26"/>
        </w:rPr>
        <w:t>录制注意事项</w:t>
      </w:r>
    </w:p>
    <w:p w14:paraId="25BA000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全程保持浏览器全屏（F11），录制区域仅包含浏览器窗口</w:t>
      </w:r>
    </w:p>
    <w:p w14:paraId="234C286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鼠标移动放缓，避免快速跳转，每个操作停留至少2秒</w:t>
      </w:r>
    </w:p>
    <w:p w14:paraId="0C12F7B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点击按钮后等待数据加载完成再继续，不要在加载中操作</w:t>
      </w:r>
    </w:p>
    <w:p w14:paraId="1209B55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3D地球旋转时速度要慢，让评委看清攻击点位和路径线</w:t>
      </w:r>
    </w:p>
    <w:p w14:paraId="20B6550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算法检测结果要停留足够时间，让关键数值可见（至少5秒）</w:t>
      </w:r>
    </w:p>
    <w:p w14:paraId="0F01948B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区域下钻操作要逐步进行，每次下钻后停留3秒展示结果</w:t>
      </w:r>
    </w:p>
    <w:p w14:paraId="5DE61784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如遇页面加载慢，可在后期剪辑时加速该段</w:t>
      </w:r>
    </w:p>
    <w:p w14:paraId="70B85C6D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>录制完成后检查音画同步，确保解说词与画面操作一致</w:t>
      </w:r>
    </w:p>
    <w:sectPr>
      <w:pgSz w:w="11906" w:h="16838"/>
      <w:pgMar w:top="1152" w:right="1296" w:bottom="1152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4E16F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rPr>
      <w:color w:val="2E74B5"/>
      <w:sz w:val="32"/>
      <w:szCs w:val="32"/>
    </w:rPr>
  </w:style>
  <w:style w:type="paragraph" w:styleId="3">
    <w:name w:val="heading 2"/>
    <w:next w:val="1"/>
    <w:qFormat/>
    <w:rPr>
      <w:color w:val="2E74B5"/>
      <w:sz w:val="26"/>
      <w:szCs w:val="26"/>
    </w:rPr>
  </w:style>
  <w:style w:type="paragraph" w:styleId="4">
    <w:name w:val="heading 3"/>
    <w:next w:val="1"/>
    <w:qFormat/>
    <w:rPr>
      <w:color w:val="1F4D78"/>
      <w:sz w:val="24"/>
      <w:szCs w:val="24"/>
    </w:rPr>
  </w:style>
  <w:style w:type="paragraph" w:styleId="5">
    <w:name w:val="heading 4"/>
    <w:next w:val="1"/>
    <w:qFormat/>
    <w:rPr>
      <w:i/>
      <w:iCs/>
      <w:color w:val="2E74B5"/>
      <w:sz w:val="21"/>
      <w:szCs w:val="22"/>
    </w:rPr>
  </w:style>
  <w:style w:type="paragraph" w:styleId="6">
    <w:name w:val="heading 5"/>
    <w:next w:val="1"/>
    <w:qFormat/>
    <w:rPr>
      <w:color w:val="2E74B5"/>
      <w:sz w:val="21"/>
      <w:szCs w:val="22"/>
    </w:rPr>
  </w:style>
  <w:style w:type="paragraph" w:styleId="7">
    <w:name w:val="heading 6"/>
    <w:next w:val="1"/>
    <w:qFormat/>
    <w:rPr>
      <w:color w:val="1F4D78"/>
      <w:sz w:val="21"/>
      <w:szCs w:val="22"/>
    </w:rPr>
  </w:style>
  <w:style w:type="character" w:default="1" w:styleId="12">
    <w:name w:val="Default Paragraph Font"/>
    <w:semiHidden/>
  </w:style>
  <w:style w:type="table" w:default="1" w:styleId="1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pPr>
      <w:spacing w:after="0" w:line="240" w:lineRule="auto"/>
    </w:pPr>
    <w:rPr>
      <w:sz w:val="20"/>
      <w:szCs w:val="20"/>
    </w:rPr>
  </w:style>
  <w:style w:type="paragraph" w:styleId="10">
    <w:name w:val="Title"/>
    <w:qFormat/>
    <w:rPr>
      <w:sz w:val="56"/>
      <w:szCs w:val="56"/>
    </w:rPr>
  </w:style>
  <w:style w:type="character" w:styleId="13">
    <w:name w:val="endnote reference"/>
    <w:semiHidden/>
    <w:unhideWhenUsed/>
    <w:qFormat/>
    <w:rPr>
      <w:vertAlign w:val="superscript"/>
    </w:rPr>
  </w:style>
  <w:style w:type="character" w:styleId="14">
    <w:name w:val="Hyperlink"/>
    <w:unhideWhenUsed/>
    <w:qFormat/>
    <w:rPr>
      <w:color w:val="0563C1"/>
      <w:u w:val="single"/>
    </w:rPr>
  </w:style>
  <w:style w:type="character" w:styleId="15">
    <w:name w:val="footnote reference"/>
    <w:semiHidden/>
    <w:unhideWhenUsed/>
    <w:qFormat/>
    <w:rPr>
      <w:vertAlign w:val="superscript"/>
    </w:rPr>
  </w:style>
  <w:style w:type="paragraph" w:styleId="16">
    <w:name w:val="List Paragraph"/>
    <w:qFormat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rPr>
      <w:sz w:val="20"/>
      <w:szCs w:val="20"/>
    </w:rPr>
  </w:style>
  <w:style w:type="character" w:customStyle="1" w:styleId="18">
    <w:name w:val="Endnote Text Char"/>
    <w:link w:val="8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1297</Words>
  <Characters>1505</Characters>
  <TotalTime>7</TotalTime>
  <ScaleCrop>false</ScaleCrop>
  <LinksUpToDate>false</LinksUpToDate>
  <CharactersWithSpaces>1552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2026-04-24T05:08:00Z</dcterms:created>
  <dc:creator>Un-named</dc:creator>
  <cp:lastModifiedBy>侯宗阳</cp:lastModifiedBy>
  <dcterms:modified xsi:type="dcterms:W3CDTF">2026-04-24T06:08:29Z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1F07E8BE7C1547E6BBEAD6A6BFDD6201_12</vt:lpwstr>
  </property>
</Properties>
</file>