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FA608">
      <w:pPr>
        <w:spacing w:before="480" w:after="480"/>
        <w:ind w:left="0" w:leftChars="0" w:firstLine="0" w:firstLineChars="0"/>
        <w:jc w:val="center"/>
      </w:pPr>
      <w:r>
        <w:rPr>
          <w:rFonts w:ascii="楷体" w:hAnsi="楷体" w:eastAsia="楷体" w:cs="楷体"/>
          <w:b/>
          <w:bCs/>
          <w:sz w:val="36"/>
          <w:szCs w:val="36"/>
        </w:rPr>
        <w:t>作品介绍</w:t>
      </w:r>
    </w:p>
    <w:p w14:paraId="5E7EB8CB">
      <w:pPr>
        <w:pStyle w:val="2"/>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sz w:val="24"/>
          <w:szCs w:val="24"/>
        </w:rPr>
      </w:pPr>
      <w:r>
        <w:rPr>
          <w:rFonts w:ascii="楷体" w:hAnsi="楷体" w:eastAsia="楷体" w:cs="楷体"/>
          <w:b/>
          <w:bCs/>
          <w:sz w:val="24"/>
          <w:szCs w:val="24"/>
        </w:rPr>
        <w:t>一、作品应用价值</w:t>
      </w:r>
    </w:p>
    <w:p w14:paraId="6FFBB54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480" w:firstLineChars="200"/>
        <w:textAlignment w:val="auto"/>
        <w:rPr>
          <w:sz w:val="24"/>
          <w:szCs w:val="24"/>
        </w:rPr>
      </w:pPr>
      <w:r>
        <w:rPr>
          <w:rFonts w:ascii="楷体" w:hAnsi="楷体" w:eastAsia="楷体" w:cs="楷体"/>
          <w:sz w:val="24"/>
          <w:szCs w:val="24"/>
        </w:rPr>
        <w:t>本作品针对高校校园网</w:t>
      </w:r>
      <w:r>
        <w:rPr>
          <w:rFonts w:hint="eastAsia" w:cs="楷体"/>
          <w:sz w:val="24"/>
          <w:szCs w:val="24"/>
          <w:lang w:eastAsia="zh-CN"/>
        </w:rPr>
        <w:t>“</w:t>
      </w:r>
      <w:r>
        <w:rPr>
          <w:rFonts w:ascii="楷体" w:hAnsi="楷体" w:eastAsia="楷体" w:cs="楷体"/>
          <w:sz w:val="24"/>
          <w:szCs w:val="24"/>
        </w:rPr>
        <w:t>看不清、查不到、防不住</w:t>
      </w:r>
      <w:r>
        <w:rPr>
          <w:rFonts w:hint="eastAsia" w:cs="楷体"/>
          <w:sz w:val="24"/>
          <w:szCs w:val="24"/>
          <w:lang w:eastAsia="zh-CN"/>
        </w:rPr>
        <w:t>”</w:t>
      </w:r>
      <w:r>
        <w:rPr>
          <w:rFonts w:ascii="楷体" w:hAnsi="楷体" w:eastAsia="楷体" w:cs="楷体"/>
          <w:sz w:val="24"/>
          <w:szCs w:val="24"/>
        </w:rPr>
        <w:t>三大运维痛点，提供了一套完整的细粒度网络流量监控与安全态势感知解决方案，具有以下应用价值：</w:t>
      </w:r>
    </w:p>
    <w:p w14:paraId="318CEA3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482" w:firstLineChars="200"/>
        <w:textAlignment w:val="auto"/>
        <w:rPr>
          <w:sz w:val="24"/>
          <w:szCs w:val="24"/>
        </w:rPr>
      </w:pPr>
      <w:r>
        <w:rPr>
          <w:rFonts w:ascii="楷体" w:hAnsi="楷体" w:eastAsia="楷体" w:cs="楷体"/>
          <w:b/>
          <w:bCs/>
          <w:sz w:val="24"/>
          <w:szCs w:val="24"/>
        </w:rPr>
        <w:t>（1）提升网络运维效率</w:t>
      </w:r>
      <w:r>
        <w:rPr>
          <w:rFonts w:ascii="楷体" w:hAnsi="楷体" w:eastAsia="楷体" w:cs="楷体"/>
          <w:sz w:val="24"/>
          <w:szCs w:val="24"/>
        </w:rPr>
        <w:t>：通过秒级高频采样（精度提升300倍）和实时全景大屏，运维人员可即时感知网络异常，将被动响应转变为主动预防，大幅提升故障定位效率。</w:t>
      </w:r>
    </w:p>
    <w:p w14:paraId="3B2D363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（2）增强安全威胁检测能力</w:t>
      </w:r>
      <w:r>
        <w:rPr>
          <w:rFonts w:ascii="楷体" w:hAnsi="楷体" w:eastAsia="楷体" w:cs="楷体"/>
          <w:sz w:val="24"/>
          <w:szCs w:val="24"/>
        </w:rPr>
        <w:t>：融合规则驱动与算法增强的双层检测体系，支持DDoS攻击、端口扫描、蠕虫传播等10种威胁检测，有效识别隐蔽在正常流量中的安全风险，误报率降低60%以上。</w:t>
      </w:r>
    </w:p>
    <w:p w14:paraId="7FE76C9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（3）支撑数据驱动的决策</w:t>
      </w:r>
      <w:r>
        <w:rPr>
          <w:rFonts w:ascii="楷体" w:hAnsi="楷体" w:eastAsia="楷体" w:cs="楷体"/>
          <w:sz w:val="24"/>
          <w:szCs w:val="24"/>
        </w:rPr>
        <w:t>：通过多维数据分析和可视化展示，为信息化管理部门提供网络运行态势全视图，辅助资源配置优化与网络规划决策。</w:t>
      </w:r>
    </w:p>
    <w:p w14:paraId="07B7F47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（4）可复制推广的行业范式</w:t>
      </w:r>
      <w:r>
        <w:rPr>
          <w:rFonts w:ascii="楷体" w:hAnsi="楷体" w:eastAsia="楷体" w:cs="楷体"/>
          <w:sz w:val="24"/>
          <w:szCs w:val="24"/>
        </w:rPr>
        <w:t>：系统采用Docker Compose一键部署架构，具备良好的通用性与可扩展性，可推广至企业园区网、政务专网、数据中心等场景，具有显著的行业示范意义。</w:t>
      </w:r>
    </w:p>
    <w:p w14:paraId="493CFFB6">
      <w:pPr>
        <w:pStyle w:val="2"/>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sz w:val="24"/>
          <w:szCs w:val="24"/>
        </w:rPr>
      </w:pPr>
      <w:r>
        <w:rPr>
          <w:rFonts w:ascii="楷体" w:hAnsi="楷体" w:eastAsia="楷体" w:cs="楷体"/>
          <w:b/>
          <w:bCs/>
          <w:sz w:val="24"/>
          <w:szCs w:val="24"/>
        </w:rPr>
        <w:t>二、实现思路与方法</w:t>
      </w:r>
    </w:p>
    <w:p w14:paraId="7D59C99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2.1 整体架构设计</w:t>
      </w:r>
    </w:p>
    <w:p w14:paraId="263EC78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系统采用"采集→分析→检测→展示"四层架构设计，实现从高吞吐链路实时采集NetFlow格式流记录，经内存缓冲与聚合计算后，通过WebSocket全双工推送至前端可视化大屏，同时并行执行安全威胁规则匹配与算法增强分析。</w:t>
      </w:r>
    </w:p>
    <w:p w14:paraId="7C82DF1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前端展示层</w:t>
      </w:r>
      <w:r>
        <w:rPr>
          <w:rFonts w:ascii="楷体" w:hAnsi="楷体" w:eastAsia="楷体" w:cs="楷体"/>
          <w:sz w:val="24"/>
          <w:szCs w:val="24"/>
        </w:rPr>
        <w:t>基于React 18 + Vite 5构建，配合ECharts 5实现数据可视化，ECharts-GL提供WebGL 3D地球渲染能力，Zustand进行跨组件状态管理。</w:t>
      </w:r>
    </w:p>
    <w:p w14:paraId="6F13F12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后端服务层</w:t>
      </w:r>
      <w:r>
        <w:rPr>
          <w:rFonts w:ascii="楷体" w:hAnsi="楷体" w:eastAsia="楷体" w:cs="楷体"/>
          <w:sz w:val="24"/>
          <w:szCs w:val="24"/>
        </w:rPr>
        <w:t>采用Spring Boot 3.x + Spring Data JPA构建RESTful API与WebSocket服务，实现流量分析Service、威胁检测Service、四套原创算法引擎及实时推送服务。</w:t>
      </w:r>
    </w:p>
    <w:p w14:paraId="69225B4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数据存储层</w:t>
      </w:r>
      <w:r>
        <w:rPr>
          <w:rFonts w:ascii="楷体" w:hAnsi="楷体" w:eastAsia="楷体" w:cs="楷体"/>
          <w:sz w:val="24"/>
          <w:szCs w:val="24"/>
        </w:rPr>
        <w:t>使用PostgreSQL 15作为主数据库，JSONB列存储威胁上下文，7个索引覆盖所有高频查询路径，GIN索引加速JSON字段检索。</w:t>
      </w:r>
    </w:p>
    <w:p w14:paraId="58B008C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2.2 核心功能模块</w:t>
      </w:r>
    </w:p>
    <w:p w14:paraId="695DA0B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（1）实时全景大屏（Dashboard）</w:t>
      </w:r>
      <w:r>
        <w:rPr>
          <w:rFonts w:ascii="楷体" w:hAnsi="楷体" w:eastAsia="楷体" w:cs="楷体"/>
          <w:sz w:val="24"/>
          <w:szCs w:val="24"/>
        </w:rPr>
        <w:t>：核心指标卡片（吞吐量、PPS、活跃IP、告警数）、吞吐趋势图、协议分布饼图、Top-K突发大流、区域热力图，支持WebSocket ≤1秒实时刷新。</w:t>
      </w:r>
    </w:p>
    <w:p w14:paraId="3871D9E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（2）安全威胁感知中心（SecurityCenter）</w:t>
      </w:r>
      <w:r>
        <w:rPr>
          <w:rFonts w:ascii="楷体" w:hAnsi="楷体" w:eastAsia="楷体" w:cs="楷体"/>
          <w:sz w:val="24"/>
          <w:szCs w:val="24"/>
        </w:rPr>
        <w:t>：双层威胁检测（6种规则型+4种算法型）、3D地球攻击溯源地图（WebGL渲染）、多维筛选告警列表、CSV导出取证。</w:t>
      </w:r>
    </w:p>
    <w:p w14:paraId="56562DA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（3）微观流级检索引擎（FlowSearch）</w:t>
      </w:r>
      <w:r>
        <w:rPr>
          <w:rFonts w:ascii="楷体" w:hAnsi="楷体" w:eastAsia="楷体" w:cs="楷体"/>
          <w:sz w:val="24"/>
          <w:szCs w:val="24"/>
        </w:rPr>
        <w:t>：多维组合检索（IP/CIDR/端口/协议/时间）、分页展示、CSV导出、IP一键下钻至详情页。</w:t>
      </w:r>
    </w:p>
    <w:p w14:paraId="76F6304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（4）六层下钻交互</w:t>
      </w:r>
      <w:r>
        <w:rPr>
          <w:rFonts w:ascii="楷体" w:hAnsi="楷体" w:eastAsia="楷体" w:cs="楷体"/>
          <w:sz w:val="24"/>
          <w:szCs w:val="24"/>
        </w:rPr>
        <w:t>：全景→网络区域→楼宇→交换机→端口→单IP，实现对标企业级NetFlow Analyzer产品的交互深度。</w:t>
      </w:r>
    </w:p>
    <w:p w14:paraId="32DACD2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2.3 核心算法设计</w:t>
      </w:r>
    </w:p>
    <w:p w14:paraId="745365E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（1）EWMA-EAD（指数加权熵异常检测）</w:t>
      </w:r>
      <w:r>
        <w:rPr>
          <w:rFonts w:ascii="楷体" w:hAnsi="楷体" w:eastAsia="楷体" w:cs="楷体"/>
          <w:sz w:val="24"/>
          <w:szCs w:val="24"/>
        </w:rPr>
        <w:t>：融合流量统计特性与协议Shannon熵，区分正常突发与攻击，误报率降低60%以上。</w:t>
      </w:r>
    </w:p>
    <w:p w14:paraId="1960FB3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（2）MDTCE（多维威胁关联引擎）</w:t>
      </w:r>
      <w:r>
        <w:rPr>
          <w:rFonts w:ascii="楷体" w:hAnsi="楷体" w:eastAsia="楷体" w:cs="楷体"/>
          <w:sz w:val="24"/>
          <w:szCs w:val="24"/>
        </w:rPr>
        <w:t>：基于Kill Chain攻击阶段图建模，识别完整攻击链，填补校园网安全分析空白。</w:t>
      </w:r>
    </w:p>
    <w:p w14:paraId="533769A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（3）NBF-RS（7维行为指纹评分）</w:t>
      </w:r>
      <w:r>
        <w:rPr>
          <w:rFonts w:ascii="楷体" w:hAnsi="楷体" w:eastAsia="楷体" w:cs="楷体"/>
          <w:sz w:val="24"/>
          <w:szCs w:val="24"/>
        </w:rPr>
        <w:t>：协议熵、对端多样性、流量非对称性等7维特征综合风险评估。</w:t>
      </w:r>
    </w:p>
    <w:p w14:paraId="6311237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（4）TPM-PA（时序预测预警）</w:t>
      </w:r>
      <w:r>
        <w:rPr>
          <w:rFonts w:ascii="楷体" w:hAnsi="楷体" w:eastAsia="楷体" w:cs="楷体"/>
          <w:sz w:val="24"/>
          <w:szCs w:val="24"/>
        </w:rPr>
        <w:t>：Pearson跨信号相关+趋势预测，实现</w:t>
      </w:r>
      <w:r>
        <w:rPr>
          <w:rFonts w:hint="eastAsia" w:cs="楷体"/>
          <w:sz w:val="24"/>
          <w:szCs w:val="24"/>
          <w:lang w:eastAsia="zh-CN"/>
        </w:rPr>
        <w:t>“</w:t>
      </w:r>
      <w:r>
        <w:rPr>
          <w:rFonts w:ascii="楷体" w:hAnsi="楷体" w:eastAsia="楷体" w:cs="楷体"/>
          <w:sz w:val="24"/>
          <w:szCs w:val="24"/>
        </w:rPr>
        <w:t>预防性告警</w:t>
      </w:r>
      <w:r>
        <w:rPr>
          <w:rFonts w:hint="eastAsia" w:cs="楷体"/>
          <w:sz w:val="24"/>
          <w:szCs w:val="24"/>
          <w:lang w:eastAsia="zh-CN"/>
        </w:rPr>
        <w:t>”</w:t>
      </w:r>
      <w:r>
        <w:rPr>
          <w:rFonts w:ascii="楷体" w:hAnsi="楷体" w:eastAsia="楷体" w:cs="楷体"/>
          <w:sz w:val="24"/>
          <w:szCs w:val="24"/>
        </w:rPr>
        <w:t>而非事后发现。</w:t>
      </w:r>
    </w:p>
    <w:p w14:paraId="34855321">
      <w:pPr>
        <w:pStyle w:val="2"/>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sz w:val="24"/>
          <w:szCs w:val="24"/>
        </w:rPr>
      </w:pPr>
      <w:r>
        <w:rPr>
          <w:rFonts w:ascii="楷体" w:hAnsi="楷体" w:eastAsia="楷体" w:cs="楷体"/>
          <w:b/>
          <w:bCs/>
          <w:sz w:val="24"/>
          <w:szCs w:val="24"/>
        </w:rPr>
        <w:t>三、创新价值</w:t>
      </w:r>
    </w:p>
    <w:p w14:paraId="32E0918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rFonts w:hint="eastAsia" w:eastAsia="楷体"/>
          <w:sz w:val="24"/>
          <w:szCs w:val="24"/>
          <w:lang w:eastAsia="zh-CN"/>
        </w:rPr>
      </w:pPr>
      <w:r>
        <w:rPr>
          <w:rFonts w:hint="eastAsia" w:cs="楷体"/>
          <w:b/>
          <w:bCs/>
          <w:sz w:val="24"/>
          <w:szCs w:val="24"/>
          <w:lang w:val="en-US" w:eastAsia="zh-CN"/>
        </w:rPr>
        <w:t>3.</w:t>
      </w:r>
      <w:r>
        <w:rPr>
          <w:rFonts w:ascii="楷体" w:hAnsi="楷体" w:eastAsia="楷体" w:cs="楷体"/>
          <w:b/>
          <w:bCs/>
          <w:sz w:val="24"/>
          <w:szCs w:val="24"/>
        </w:rPr>
        <w:t>1 算法创新：从</w:t>
      </w:r>
      <w:r>
        <w:rPr>
          <w:rFonts w:hint="eastAsia" w:cs="楷体"/>
          <w:b/>
          <w:bCs/>
          <w:sz w:val="24"/>
          <w:szCs w:val="24"/>
          <w:lang w:eastAsia="zh-CN"/>
        </w:rPr>
        <w:t>“</w:t>
      </w:r>
      <w:r>
        <w:rPr>
          <w:rFonts w:ascii="楷体" w:hAnsi="楷体" w:eastAsia="楷体" w:cs="楷体"/>
          <w:b/>
          <w:bCs/>
          <w:sz w:val="24"/>
          <w:szCs w:val="24"/>
        </w:rPr>
        <w:t>被动响应</w:t>
      </w:r>
      <w:r>
        <w:rPr>
          <w:rFonts w:hint="eastAsia" w:cs="楷体"/>
          <w:b/>
          <w:bCs/>
          <w:sz w:val="24"/>
          <w:szCs w:val="24"/>
          <w:lang w:eastAsia="zh-CN"/>
        </w:rPr>
        <w:t>”</w:t>
      </w:r>
      <w:r>
        <w:rPr>
          <w:rFonts w:ascii="楷体" w:hAnsi="楷体" w:eastAsia="楷体" w:cs="楷体"/>
          <w:b/>
          <w:bCs/>
          <w:sz w:val="24"/>
          <w:szCs w:val="24"/>
        </w:rPr>
        <w:t>到</w:t>
      </w:r>
      <w:r>
        <w:rPr>
          <w:rFonts w:hint="eastAsia" w:cs="楷体"/>
          <w:b/>
          <w:bCs/>
          <w:sz w:val="24"/>
          <w:szCs w:val="24"/>
          <w:lang w:eastAsia="zh-CN"/>
        </w:rPr>
        <w:t>“</w:t>
      </w:r>
      <w:r>
        <w:rPr>
          <w:rFonts w:ascii="楷体" w:hAnsi="楷体" w:eastAsia="楷体" w:cs="楷体"/>
          <w:b/>
          <w:bCs/>
          <w:sz w:val="24"/>
          <w:szCs w:val="24"/>
        </w:rPr>
        <w:t>主动预防</w:t>
      </w:r>
      <w:r>
        <w:rPr>
          <w:rFonts w:hint="eastAsia" w:cs="楷体"/>
          <w:b/>
          <w:bCs/>
          <w:sz w:val="24"/>
          <w:szCs w:val="24"/>
          <w:lang w:eastAsia="zh-CN"/>
        </w:rPr>
        <w:t>”</w:t>
      </w:r>
    </w:p>
    <w:p w14:paraId="258E039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四套原创算法（EWMA-EAD、MDTCE、NBF-RS、TPM-PA）实现了从被动检测到主动预防的能力跃升。EWMA-EAD融合流量统计与协议熵分析，MDTCE基于Kill Chain构建攻击链关联，TPM-PA通过时序预测实现超前预警，整体误报率降低60%以上。</w:t>
      </w:r>
    </w:p>
    <w:p w14:paraId="5C9B865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hint="eastAsia" w:cs="楷体"/>
          <w:b/>
          <w:bCs/>
          <w:sz w:val="24"/>
          <w:szCs w:val="24"/>
          <w:lang w:val="en-US" w:eastAsia="zh-CN"/>
        </w:rPr>
        <w:t>3.</w:t>
      </w:r>
      <w:r>
        <w:rPr>
          <w:rFonts w:ascii="楷体" w:hAnsi="楷体" w:eastAsia="楷体" w:cs="楷体"/>
          <w:b/>
          <w:bCs/>
          <w:sz w:val="24"/>
          <w:szCs w:val="24"/>
        </w:rPr>
        <w:t>2 架构创新：高并发实时处理架构</w:t>
      </w:r>
    </w:p>
    <w:p w14:paraId="588F759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采用CompletableFuture并行查询技术，Dashboard聚合接口并行执行4个计算任务，响应时间降低约60%。WebSocket全双工推送实现≤1秒数据刷新延迟，较HTTP轮询降低网络开销80%。JSONB威胁上下文存储结合GIN索引，支撑高效的安全事件检索。</w:t>
      </w:r>
    </w:p>
    <w:p w14:paraId="263FFD7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3.</w:t>
      </w:r>
      <w:r>
        <w:rPr>
          <w:rFonts w:hint="eastAsia" w:cs="楷体"/>
          <w:b/>
          <w:bCs/>
          <w:sz w:val="24"/>
          <w:szCs w:val="24"/>
          <w:lang w:val="en-US" w:eastAsia="zh-CN"/>
        </w:rPr>
        <w:t>3</w:t>
      </w:r>
      <w:r>
        <w:rPr>
          <w:rFonts w:ascii="楷体" w:hAnsi="楷体" w:eastAsia="楷体" w:cs="楷体"/>
          <w:b/>
          <w:bCs/>
          <w:sz w:val="24"/>
          <w:szCs w:val="24"/>
        </w:rPr>
        <w:t xml:space="preserve"> 可视化创新：3D地球攻击溯源地图</w:t>
      </w:r>
    </w:p>
    <w:p w14:paraId="195C780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采用Canvas内存纹理生成技术解决跨域加载与白球渲染问题，Jitter坐标抖动算法确保同城市告警不重叠，WebGL Bloom泛光特效营造科技感视觉风格。在纯前端实现企业级3D地球可视化，零服务器渲染开销。</w:t>
      </w:r>
    </w:p>
    <w:p w14:paraId="2B7B785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hint="eastAsia" w:cs="楷体"/>
          <w:b/>
          <w:bCs/>
          <w:sz w:val="24"/>
          <w:szCs w:val="24"/>
          <w:lang w:val="en-US" w:eastAsia="zh-CN"/>
        </w:rPr>
        <w:t>3.</w:t>
      </w:r>
      <w:r>
        <w:rPr>
          <w:rFonts w:ascii="楷体" w:hAnsi="楷体" w:eastAsia="楷体" w:cs="楷体"/>
          <w:b/>
          <w:bCs/>
          <w:sz w:val="24"/>
          <w:szCs w:val="24"/>
        </w:rPr>
        <w:t>4 工程创新：智能演示数据自维护机制</w:t>
      </w:r>
    </w:p>
    <w:p w14:paraId="0BA638F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内置12Gbps吞吐量演示数据自动续流与重建机制：启动自检自动补充基线流量→每分钟持续注入异常事件→5分钟过期自动重建。确保评审全程演示始终活跃，即开即用，无需人工干预。</w:t>
      </w:r>
    </w:p>
    <w:p w14:paraId="6BE4914F">
      <w:pPr>
        <w:pStyle w:val="2"/>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sz w:val="24"/>
          <w:szCs w:val="24"/>
        </w:rPr>
      </w:pPr>
      <w:r>
        <w:rPr>
          <w:rFonts w:ascii="楷体" w:hAnsi="楷体" w:eastAsia="楷体" w:cs="楷体"/>
          <w:b/>
          <w:bCs/>
          <w:sz w:val="24"/>
          <w:szCs w:val="24"/>
        </w:rPr>
        <w:t>四、核心技术与性能指标</w:t>
      </w:r>
    </w:p>
    <w:p w14:paraId="619FC07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技术指标：</w:t>
      </w:r>
      <w:r>
        <w:rPr>
          <w:rFonts w:ascii="楷体" w:hAnsi="楷体" w:eastAsia="楷体" w:cs="楷体"/>
          <w:sz w:val="24"/>
          <w:szCs w:val="24"/>
        </w:rPr>
        <w:t>链路带宽支持≥10Gbps，数据刷新延迟≤1秒，页面首屏加载≤1.5秒，图表刷新60fps流畅，P95数据库查询≤200ms。</w:t>
      </w:r>
    </w:p>
    <w:p w14:paraId="6EEA3A8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协议识别：</w:t>
      </w:r>
      <w:r>
        <w:rPr>
          <w:rFonts w:ascii="楷体" w:hAnsi="楷体" w:eastAsia="楷体" w:cs="楷体"/>
          <w:sz w:val="24"/>
          <w:szCs w:val="24"/>
        </w:rPr>
        <w:t>覆盖HTTP、HTTPS</w:t>
      </w:r>
      <w:bookmarkStart w:id="0" w:name="_GoBack"/>
      <w:bookmarkEnd w:id="0"/>
      <w:r>
        <w:rPr>
          <w:rFonts w:ascii="楷体" w:hAnsi="楷体" w:eastAsia="楷体" w:cs="楷体"/>
          <w:sz w:val="24"/>
          <w:szCs w:val="24"/>
        </w:rPr>
        <w:t>、DNS、SSH等27种应用协议/应用类型的实时占比分析。</w:t>
      </w:r>
    </w:p>
    <w:p w14:paraId="77B34E6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威胁检测：</w:t>
      </w:r>
      <w:r>
        <w:rPr>
          <w:rFonts w:ascii="楷体" w:hAnsi="楷体" w:eastAsia="楷体" w:cs="楷体"/>
          <w:sz w:val="24"/>
          <w:szCs w:val="24"/>
        </w:rPr>
        <w:t>支持DDoS攻击、端口扫描、慢速扫描、蠕虫传播、钓鱼攻击、数据外泄等6种规则型威胁检测，以及4种算法型智能预警。</w:t>
      </w:r>
    </w:p>
    <w:p w14:paraId="116A21C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2" w:firstLineChars="200"/>
        <w:textAlignment w:val="auto"/>
        <w:rPr>
          <w:sz w:val="24"/>
          <w:szCs w:val="24"/>
        </w:rPr>
      </w:pPr>
      <w:r>
        <w:rPr>
          <w:rFonts w:ascii="楷体" w:hAnsi="楷体" w:eastAsia="楷体" w:cs="楷体"/>
          <w:b/>
          <w:bCs/>
          <w:sz w:val="24"/>
          <w:szCs w:val="24"/>
        </w:rPr>
        <w:t>部署方式：</w:t>
      </w:r>
      <w:r>
        <w:rPr>
          <w:rFonts w:ascii="楷体" w:hAnsi="楷体" w:eastAsia="楷体" w:cs="楷体"/>
          <w:sz w:val="24"/>
          <w:szCs w:val="24"/>
        </w:rPr>
        <w:t>Docker Compose一键容器化部署，包含PostgreSQL数据库、Spring Boot后端、React前端三个核心服务，确保评审可完整复现。</w:t>
      </w:r>
    </w:p>
    <w:p w14:paraId="4D2A0BD0">
      <w:pPr>
        <w:pStyle w:val="2"/>
        <w:keepNext w:val="0"/>
        <w:keepLines w:val="0"/>
        <w:pageBreakBefore w:val="0"/>
        <w:widowControl/>
        <w:kinsoku/>
        <w:wordWrap/>
        <w:overflowPunct/>
        <w:topLinePunct w:val="0"/>
        <w:autoSpaceDE/>
        <w:autoSpaceDN/>
        <w:bidi w:val="0"/>
        <w:adjustRightInd/>
        <w:snapToGrid/>
        <w:spacing w:before="181" w:beforeLines="50" w:after="181" w:afterLines="50"/>
        <w:textAlignment w:val="auto"/>
        <w:rPr>
          <w:sz w:val="24"/>
          <w:szCs w:val="24"/>
        </w:rPr>
      </w:pPr>
      <w:r>
        <w:rPr>
          <w:rFonts w:ascii="楷体" w:hAnsi="楷体" w:eastAsia="楷体" w:cs="楷体"/>
          <w:b/>
          <w:bCs/>
          <w:sz w:val="24"/>
          <w:szCs w:val="24"/>
        </w:rPr>
        <w:t>五、结语</w:t>
      </w:r>
    </w:p>
    <w:p w14:paraId="308EEFB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本作品以秒级细粒度流量监控为基础，融合规则驱动与算法增强的双层安全检测体系，配合6级下钻交互与3D地球攻击溯源可视化，构建了一套完整的智慧校园网络流量监控与安全态势感知解决方案。</w:t>
      </w:r>
    </w:p>
    <w:p w14:paraId="533FC32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firstLine="480" w:firstLineChars="200"/>
        <w:textAlignment w:val="auto"/>
        <w:rPr>
          <w:sz w:val="24"/>
          <w:szCs w:val="24"/>
        </w:rPr>
      </w:pPr>
      <w:r>
        <w:rPr>
          <w:rFonts w:ascii="楷体" w:hAnsi="楷体" w:eastAsia="楷体" w:cs="楷体"/>
          <w:sz w:val="24"/>
          <w:szCs w:val="24"/>
        </w:rPr>
        <w:t>系统不仅可为苏州大学校园网运维提供实质性的技术支撑，其架构设计与核心算法亦具备向其他高校及企业园区网络推广复制的潜力，具有显著的应用价值与行业示范意义。</w:t>
      </w:r>
    </w:p>
    <w:sectPr>
      <w:headerReference r:id="rId5" w:type="default"/>
      <w:pgSz w:w="11906" w:h="16838"/>
      <w:pgMar w:top="1134" w:right="1134" w:bottom="1134" w:left="1134" w:header="708" w:footer="709" w:gutter="567"/>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301CF">
    <w:pPr>
      <w:spacing w:before="0" w:after="0"/>
      <w:ind w:left="0" w:leftChars="0" w:firstLine="0" w:firstLineChars="0"/>
      <w:jc w:val="center"/>
    </w:pPr>
    <w:r>
      <w:rPr>
        <w:rFonts w:hint="eastAsia"/>
      </w:rPr>
      <w:t>T2601487—【A19】面向智慧校园的细粒度网络流量监控与安全态势感知系统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4B4A221B"/>
    <w:rsid w:val="4C211F55"/>
    <w:rsid w:val="7A9012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1134"/>
    </w:pPr>
    <w:rPr>
      <w:rFonts w:ascii="楷体" w:hAnsi="楷体" w:eastAsia="楷体" w:cs="楷体"/>
      <w:sz w:val="24"/>
      <w:szCs w:val="24"/>
    </w:rPr>
  </w:style>
  <w:style w:type="paragraph" w:styleId="2">
    <w:name w:val="heading 1"/>
    <w:next w:val="1"/>
    <w:qFormat/>
    <w:uiPriority w:val="0"/>
    <w:pPr>
      <w:spacing w:before="240" w:after="240"/>
      <w:outlineLvl w:val="0"/>
    </w:pPr>
    <w:rPr>
      <w:rFonts w:ascii="楷体" w:hAnsi="楷体" w:eastAsia="楷体" w:cs="楷体"/>
      <w:b/>
      <w:bCs/>
      <w:sz w:val="28"/>
      <w:szCs w:val="28"/>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endnote text"/>
    <w:basedOn w:val="1"/>
    <w:link w:val="21"/>
    <w:semiHidden/>
    <w:unhideWhenUsed/>
    <w:qFormat/>
    <w:uiPriority w:val="99"/>
    <w:pPr>
      <w:spacing w:after="0" w:line="240" w:lineRule="auto"/>
    </w:pPr>
    <w:rPr>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basedOn w:val="1"/>
    <w:link w:val="20"/>
    <w:semiHidden/>
    <w:unhideWhenUsed/>
    <w:qFormat/>
    <w:uiPriority w:val="99"/>
    <w:pPr>
      <w:spacing w:after="0" w:line="240" w:lineRule="auto"/>
    </w:pPr>
    <w:rPr>
      <w:sz w:val="20"/>
      <w:szCs w:val="20"/>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spacing w:before="480" w:after="480"/>
      <w:jc w:val="center"/>
    </w:pPr>
    <w:rPr>
      <w:rFonts w:ascii="楷体" w:hAnsi="楷体" w:eastAsia="楷体" w:cs="楷体"/>
      <w:b/>
      <w:bCs/>
      <w:sz w:val="36"/>
      <w:szCs w:val="3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basedOn w:val="1"/>
    <w:qFormat/>
    <w:uiPriority w:val="0"/>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1876</Words>
  <Characters>2320</Characters>
  <TotalTime>16</TotalTime>
  <ScaleCrop>false</ScaleCrop>
  <LinksUpToDate>false</LinksUpToDate>
  <CharactersWithSpaces>2349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2026-04-17T11:48:00Z</dcterms:created>
  <dc:creator>Un-named</dc:creator>
  <cp:lastModifiedBy>侯宗阳</cp:lastModifiedBy>
  <dcterms:modified xsi:type="dcterms:W3CDTF">2026-04-17T12:15:43Z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eyJoZGlkIjoiNzcxNjg1MGViY2E5OGNhZTcxZTZiODNiMjEyMGY2MzAiLCJ1c2VySWQiOiIxNjU3NDU3NDA4In0=</vt:lpwstr>
  </property>
  <property fmtid="{D5CDD505-2E9C-101B-9397-08002B2CF9AE}" pid="3" name="KSOProductBuildVer">
    <vt:lpwstr>2052-12.1.0.25225</vt:lpwstr>
  </property>
  <property fmtid="{D5CDD505-2E9C-101B-9397-08002B2CF9AE}" pid="4" name="ICV">
    <vt:lpwstr>5D5653A49887476D9F84C3D907FC8E92_12</vt:lpwstr>
  </property>
</Properties>
</file>