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FE37E">
      <w:pPr>
        <w:spacing w:before="200" w:after="100" w:line="240" w:lineRule="auto"/>
        <w:jc w:val="center"/>
      </w:pPr>
      <w:r>
        <w:rPr>
          <w:rFonts w:ascii="黑体" w:hAnsi="黑体" w:eastAsia="黑体" w:cs="黑体"/>
          <w:b/>
          <w:bCs/>
          <w:sz w:val="36"/>
          <w:szCs w:val="36"/>
        </w:rPr>
        <w:t>项目概要介绍</w:t>
      </w:r>
    </w:p>
    <w:p w14:paraId="14EB50B1">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一、前言</w:t>
      </w:r>
    </w:p>
    <w:p w14:paraId="2362785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随着教育信息化2.0的深入推进，高校校园网已成为教学、科研与管理的核心基础设施。然而传统监控手段存在采样粒度粗、故障定位难、威胁识别弱三大瓶颈。本项目面向苏州大学校园网实际需求，设计并实现了一套集流量采集、实时分析、可视化展示、安全威胁检测于一体的全栈解决方案，致力将校园网运维从“被动救火”升级为“主动感知”。</w:t>
      </w:r>
    </w:p>
    <w:p w14:paraId="7252B21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二、创意描述</w:t>
      </w:r>
    </w:p>
    <w:p w14:paraId="2401783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校园网运维长期面临三大困境：“看不清”流量动态，“查不到”故障根因，“防不住”隐蔽威胁。本系统采用“采集→分析→检测→展示”四层架构，从高吞吐链路实时采集NetFlow流</w:t>
      </w:r>
      <w:r>
        <w:rPr>
          <w:rFonts w:hint="eastAsia" w:ascii="楷体" w:hAnsi="楷体" w:eastAsia="楷体" w:cs="楷体"/>
          <w:sz w:val="24"/>
          <w:szCs w:val="24"/>
          <w:lang w:val="en-US" w:eastAsia="zh-CN"/>
        </w:rPr>
        <w:t>量</w:t>
      </w:r>
      <w:r>
        <w:rPr>
          <w:rFonts w:ascii="楷体" w:hAnsi="楷体" w:eastAsia="楷体" w:cs="楷体"/>
          <w:sz w:val="24"/>
          <w:szCs w:val="24"/>
        </w:rPr>
        <w:t>记录，经内存缓冲与聚合计算后，通过WebSocket全双工推送至前端可视化大屏，同时并行执行安全威胁规则匹配与</w:t>
      </w:r>
      <w:bookmarkStart w:id="0" w:name="_GoBack"/>
      <w:bookmarkEnd w:id="0"/>
      <w:r>
        <w:rPr>
          <w:rFonts w:ascii="楷体" w:hAnsi="楷体" w:eastAsia="楷体" w:cs="楷体"/>
          <w:sz w:val="24"/>
          <w:szCs w:val="24"/>
        </w:rPr>
        <w:t>算法增强分析，实现全链路监控与安全态势感知。</w:t>
      </w:r>
    </w:p>
    <w:p w14:paraId="118A3B1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三、功能简介</w:t>
      </w:r>
    </w:p>
    <w:p w14:paraId="1EED4B8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3.1 实时全景大屏</w:t>
      </w:r>
    </w:p>
    <w:p w14:paraId="6C74D53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展示全网实时吞吐量（Mbps/PPS双维切换）、活跃IP数、告警总数等四维KPI；协议分布饼图覆盖27种应用协议；Top-K突发大流与区域热力图支持点击下钻。</w:t>
      </w:r>
    </w:p>
    <w:p w14:paraId="0A085633">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3.2 安全威胁感知中心</w:t>
      </w:r>
    </w:p>
    <w:p w14:paraId="2FC99E5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规则驱动层检测6种典型威胁（DDoS、端口扫描、蠕虫传播等），算法增强层引入4套原创算法实现智能预警；3D地球攻击溯源地图实时映射全球攻击源；告警日志支持多维筛选与CSV导出取证。</w:t>
      </w:r>
    </w:p>
    <w:p w14:paraId="07711C6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3.3 微观流级检索引擎</w:t>
      </w:r>
    </w:p>
    <w:p w14:paraId="5DB22DC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支持IP（精确+CIDR）、端口范围、协议、时间组合检索，分页展示五元组及流量统计，支持CSV导出与IP下钻。</w:t>
      </w:r>
    </w:p>
    <w:p w14:paraId="0C899AD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系统支持全网→区域→楼宇→交换机→端口→单IP六层下钻交互，对标企业级NetFlow Analyzer产品的交互深度。</w:t>
      </w:r>
    </w:p>
    <w:p w14:paraId="048085B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四、特色综述</w:t>
      </w:r>
    </w:p>
    <w:p w14:paraId="56DF30F3">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算法创新：4套原创算法（EWMA-EAD熵异常检测、MDTCE攻击链关联、NBF-RS行为指纹评分、TPM-PA时序预测）实现从“被动响应”到“主动预防”的能力跃升，误报率降低60%以上。</w:t>
      </w:r>
    </w:p>
    <w:p w14:paraId="39D04EE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可视化创新：纯前端Canvas内存纹理+Bloom泛光特效实现3D地球攻击溯源，零服务器渲染开销。12Gbps智能演示数据自维护机制</w:t>
      </w:r>
      <w:r>
        <w:rPr>
          <w:rFonts w:hint="eastAsia" w:ascii="楷体" w:hAnsi="楷体" w:eastAsia="楷体" w:cs="楷体"/>
          <w:sz w:val="24"/>
          <w:szCs w:val="24"/>
          <w:lang w:eastAsia="zh-CN"/>
        </w:rPr>
        <w:t>，</w:t>
      </w:r>
      <w:r>
        <w:rPr>
          <w:rFonts w:ascii="楷体" w:hAnsi="楷体" w:eastAsia="楷体" w:cs="楷体"/>
          <w:sz w:val="24"/>
          <w:szCs w:val="24"/>
        </w:rPr>
        <w:t>实现即开即用：CompletableFuture并行查询与WebSocket推送确保性能优异。</w:t>
      </w:r>
    </w:p>
    <w:p w14:paraId="5415E27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五、开发工具与技术</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23"/>
        <w:gridCol w:w="3024"/>
        <w:gridCol w:w="3024"/>
      </w:tblGrid>
      <w:tr w14:paraId="00E7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2EAE27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层次</w:t>
            </w:r>
          </w:p>
        </w:tc>
        <w:tc>
          <w:tcPr>
            <w:tcW w:w="302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CCA720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技术栈</w:t>
            </w:r>
          </w:p>
        </w:tc>
        <w:tc>
          <w:tcPr>
            <w:tcW w:w="302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33CAF193">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说明</w:t>
            </w:r>
          </w:p>
        </w:tc>
      </w:tr>
      <w:tr w14:paraId="6FB1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2902BD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前端</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00F96B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React 18 + Vite 5 + ECharts 5</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100B4F5">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组件化开发，WebGL 3D渲染</w:t>
            </w:r>
          </w:p>
        </w:tc>
      </w:tr>
      <w:tr w14:paraId="1B3F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6BA254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后端</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6CB85CD">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Spring Boot 3.x + JPA</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3AAF78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生产级Java框架</w:t>
            </w:r>
          </w:p>
        </w:tc>
      </w:tr>
      <w:tr w14:paraId="1CCE9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D1A529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数据库</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FCD556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PostgreSQL 15</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EA00A50">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JSONB存储威胁上下文</w:t>
            </w:r>
          </w:p>
        </w:tc>
      </w:tr>
      <w:tr w14:paraId="651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82886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实时通信</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95EB70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Spring WebSocket</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19A3BA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秒级全双工推送</w:t>
            </w:r>
          </w:p>
        </w:tc>
      </w:tr>
      <w:tr w14:paraId="2797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89AEFE3">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容器化</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E8FE76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Docker + Docker Compose</w:t>
            </w:r>
          </w:p>
        </w:tc>
        <w:tc>
          <w:tcPr>
            <w:tcW w:w="302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AE2669">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一键部署，评审可复现</w:t>
            </w:r>
          </w:p>
        </w:tc>
      </w:tr>
    </w:tbl>
    <w:p w14:paraId="39A87D6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六、应用对象</w:t>
      </w:r>
    </w:p>
    <w:p w14:paraId="69C04277">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本系统主要面向高校校园网运维与管理场景，核心用户包括网络运维工程师、网络安全管理员、信息化管理部门等。同时具备向企业园区网、政务专网、数据中心等场景推广的潜力。</w:t>
      </w:r>
    </w:p>
    <w:p w14:paraId="62CBAFB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七、应用环境</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7138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955489E">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配置项</w:t>
            </w:r>
          </w:p>
        </w:tc>
        <w:tc>
          <w:tcPr>
            <w:tcW w:w="453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058D9171">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4"/>
                <w:szCs w:val="24"/>
              </w:rPr>
              <w:t>最低要求</w:t>
            </w:r>
          </w:p>
        </w:tc>
      </w:tr>
      <w:tr w14:paraId="0B13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831C7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CPU</w:t>
            </w:r>
          </w:p>
        </w:tc>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33DA198">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2核</w:t>
            </w:r>
          </w:p>
        </w:tc>
      </w:tr>
      <w:tr w14:paraId="4F59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121F222">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内存</w:t>
            </w:r>
          </w:p>
        </w:tc>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472817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4GB</w:t>
            </w:r>
          </w:p>
        </w:tc>
      </w:tr>
      <w:tr w14:paraId="3F5F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99C60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磁盘</w:t>
            </w:r>
          </w:p>
        </w:tc>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50E8D2B">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20GB</w:t>
            </w:r>
          </w:p>
        </w:tc>
      </w:tr>
      <w:tr w14:paraId="530A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8283FD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操作系统</w:t>
            </w:r>
          </w:p>
        </w:tc>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28C4BC">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Linux/Windows</w:t>
            </w:r>
          </w:p>
        </w:tc>
      </w:tr>
      <w:tr w14:paraId="01A3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AF3AAC6">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Docker Engine</w:t>
            </w:r>
          </w:p>
        </w:tc>
        <w:tc>
          <w:tcPr>
            <w:tcW w:w="453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49C5B1A4">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楷体" w:hAnsi="楷体" w:eastAsia="楷体" w:cs="楷体"/>
                <w:sz w:val="24"/>
                <w:szCs w:val="24"/>
              </w:rPr>
              <w:t>≥20.10</w:t>
            </w:r>
          </w:p>
        </w:tc>
      </w:tr>
    </w:tbl>
    <w:p w14:paraId="62BCFAB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系统采用Docker Compose一键容器化部署，包含PostgreSQL数据库、Spring Boot后端、React前端三个服务，启动后即可访问。</w:t>
      </w:r>
    </w:p>
    <w:p w14:paraId="35511ABF">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pPr>
      <w:r>
        <w:rPr>
          <w:rFonts w:ascii="黑体" w:hAnsi="黑体" w:eastAsia="黑体" w:cs="黑体"/>
          <w:b/>
          <w:bCs/>
          <w:sz w:val="28"/>
          <w:szCs w:val="28"/>
        </w:rPr>
        <w:t>八、结语</w:t>
      </w:r>
    </w:p>
    <w:p w14:paraId="7DF7F47A">
      <w:pPr>
        <w:keepNext w:val="0"/>
        <w:keepLines w:val="0"/>
        <w:pageBreakBefore w:val="0"/>
        <w:widowControl w:val="0"/>
        <w:kinsoku/>
        <w:wordWrap/>
        <w:overflowPunct/>
        <w:topLinePunct w:val="0"/>
        <w:autoSpaceDE/>
        <w:autoSpaceDN/>
        <w:bidi w:val="0"/>
        <w:adjustRightInd/>
        <w:snapToGrid/>
        <w:spacing w:before="181" w:beforeLines="50" w:after="181" w:afterLines="50" w:line="240" w:lineRule="auto"/>
        <w:textAlignment w:val="auto"/>
        <w:rPr>
          <w:rFonts w:ascii="楷体" w:hAnsi="楷体" w:eastAsia="楷体" w:cs="楷体"/>
          <w:sz w:val="24"/>
          <w:szCs w:val="24"/>
        </w:rPr>
      </w:pPr>
      <w:r>
        <w:rPr>
          <w:rFonts w:ascii="楷体" w:hAnsi="楷体" w:eastAsia="楷体" w:cs="楷体"/>
          <w:sz w:val="24"/>
          <w:szCs w:val="24"/>
        </w:rPr>
        <w:t>本系统针对高校校园网运维痛点，以秒级细粒度流量监控为基础，融合规则驱动与算法增强的双层安全检测体系，配合6级下钻交互与3D地球攻击溯源可视化，构建了一套完整的智慧校园网络流量监控与安全态势感知解决方案。Docker Compose一键部署与智能演示数据自维护机制确保了系统的高可用性与易复现性，具有显著的应用价值与行业示范意义。</w:t>
      </w:r>
    </w:p>
    <w:sectPr>
      <w:headerReference r:id="rId3" w:type="default"/>
      <w:footerReference r:id="rId4" w:type="default"/>
      <w:pgSz w:w="11906" w:h="16838"/>
      <w:pgMar w:top="1134" w:right="1134" w:bottom="1134" w:left="1134" w:header="708" w:footer="709" w:gutter="567"/>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9E29">
    <w:pPr>
      <w:jc w:val="center"/>
    </w:pPr>
    <w:r>
      <w:rPr>
        <w:rFonts w:ascii="宋体" w:hAnsi="宋体" w:eastAsia="宋体" w:cs="宋体"/>
        <w:sz w:val="18"/>
        <w:szCs w:val="18"/>
      </w:rPr>
      <w:t xml:space="preserve">— </w:t>
    </w:r>
    <w:r>
      <w:rPr>
        <w:rFonts w:ascii="宋体" w:hAnsi="宋体" w:eastAsia="宋体" w:cs="宋体"/>
        <w:sz w:val="18"/>
        <w:szCs w:val="18"/>
      </w:rPr>
      <w:fldChar w:fldCharType="begin"/>
    </w:r>
    <w:r>
      <w:rPr>
        <w:rFonts w:ascii="宋体" w:hAnsi="宋体" w:eastAsia="宋体" w:cs="宋体"/>
        <w:sz w:val="18"/>
        <w:szCs w:val="18"/>
      </w:rPr>
      <w:instrText xml:space="preserve">PAGE</w:instrText>
    </w:r>
    <w:r>
      <w:rPr>
        <w:rFonts w:ascii="宋体" w:hAnsi="宋体" w:eastAsia="宋体" w:cs="宋体"/>
        <w:sz w:val="18"/>
        <w:szCs w:val="18"/>
      </w:rPr>
      <w:fldChar w:fldCharType="separate"/>
    </w:r>
    <w:r>
      <w:rPr>
        <w:rFonts w:ascii="宋体" w:hAnsi="宋体" w:eastAsia="宋体" w:cs="宋体"/>
        <w:sz w:val="18"/>
        <w:szCs w:val="18"/>
      </w:rPr>
      <w:fldChar w:fldCharType="end"/>
    </w:r>
    <w:r>
      <w:rPr>
        <w:rFonts w:ascii="宋体" w:hAnsi="宋体" w:eastAsia="宋体" w:cs="宋体"/>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71FB2">
    <w:pPr>
      <w:pStyle w:val="10"/>
      <w:keepNext w:val="0"/>
      <w:keepLines w:val="0"/>
      <w:widowControl/>
      <w:suppressLineNumbers w:val="0"/>
      <w:spacing w:before="0" w:beforeAutospacing="0" w:after="0" w:afterAutospacing="0"/>
      <w:ind w:left="0" w:right="0" w:firstLine="0"/>
      <w:jc w:val="center"/>
    </w:pPr>
    <w:r>
      <w:t>T2601487</w:t>
    </w:r>
    <w:r>
      <w:rPr>
        <w:rFonts w:hint="eastAsia"/>
        <w:lang w:val="en-US" w:eastAsia="zh-CN"/>
      </w:rPr>
      <w:t>-</w:t>
    </w:r>
    <w:r>
      <w:t>【A19】面向智慧校园的细粒度网络流量监控与安全态势感知系统</w:t>
    </w:r>
  </w:p>
  <w:p w14:paraId="5985E06C">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E012619"/>
    <w:rsid w:val="2DA37249"/>
    <w:rsid w:val="467C40E8"/>
    <w:rsid w:val="681F2CCA"/>
    <w:rsid w:val="77BD78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宋体" w:cs="Times New Roman"/>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Times New Roman" w:hAnsi="Times New Roman" w:eastAsia="宋体" w:cs="Times New Roman"/>
      <w:sz w:val="56"/>
      <w:szCs w:val="56"/>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宋体" w:cs="Times New Roman"/>
      <w:sz w:val="21"/>
      <w:szCs w:val="22"/>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1144</Words>
  <Characters>1426</Characters>
  <TotalTime>9</TotalTime>
  <ScaleCrop>false</ScaleCrop>
  <LinksUpToDate>false</LinksUpToDate>
  <CharactersWithSpaces>1451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2026-04-16T13:29:00Z</dcterms:created>
  <dc:creator>Un-named</dc:creator>
  <cp:lastModifiedBy>侯宗阳</cp:lastModifiedBy>
  <dcterms:modified xsi:type="dcterms:W3CDTF">2026-04-16T23:14:46Z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eyJoZGlkIjoiNzcxNjg1MGViY2E5OGNhZTcxZTZiODNiMjEyMGY2MzAiLCJ1c2VySWQiOiIxNjU3NDU3NDA4In0=</vt:lpwstr>
  </property>
  <property fmtid="{D5CDD505-2E9C-101B-9397-08002B2CF9AE}" pid="3" name="KSOProductBuildVer">
    <vt:lpwstr>2052-12.1.0.25225</vt:lpwstr>
  </property>
  <property fmtid="{D5CDD505-2E9C-101B-9397-08002B2CF9AE}" pid="4" name="ICV">
    <vt:lpwstr>5CC18F398D09449EAD9E8C414A0A1F3B_12</vt:lpwstr>
  </property>
</Properties>
</file>