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FDD46">
      <w:pPr>
        <w:rPr>
          <w:color w:val="auto"/>
        </w:rPr>
      </w:pPr>
    </w:p>
    <w:p w14:paraId="1D0C0784">
      <w:pPr>
        <w:rPr>
          <w:color w:val="auto"/>
        </w:rPr>
      </w:pPr>
    </w:p>
    <w:p w14:paraId="141C06AB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52"/>
        </w:rPr>
        <w:t>C学伴（学途智导）</w:t>
      </w:r>
    </w:p>
    <w:p w14:paraId="3756BBEE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6"/>
        </w:rPr>
        <w:t>AI 驱动的多智能体个性化 C 语言学习系统</w:t>
      </w:r>
    </w:p>
    <w:p w14:paraId="571D2E88">
      <w:pPr>
        <w:rPr>
          <w:color w:val="auto"/>
        </w:rPr>
      </w:pPr>
    </w:p>
    <w:p w14:paraId="6041BDA8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部署与运维文档</w:t>
      </w:r>
    </w:p>
    <w:p w14:paraId="2FB7D104">
      <w:pPr>
        <w:jc w:val="center"/>
        <w:rPr>
          <w:color w:val="auto"/>
        </w:rPr>
      </w:pPr>
      <w:r>
        <w:rPr>
          <w:rFonts w:ascii="Times New Roman" w:hAnsi="Times New Roman" w:eastAsia="Times New Roman"/>
          <w:b w:val="0"/>
          <w:color w:val="auto"/>
          <w:sz w:val="24"/>
        </w:rPr>
        <w:t>Deployment &amp; Operations Guide</w:t>
      </w:r>
    </w:p>
    <w:p w14:paraId="4A9D69BC">
      <w:pPr>
        <w:rPr>
          <w:color w:val="auto"/>
        </w:rPr>
      </w:pPr>
    </w:p>
    <w:p w14:paraId="3E62BB5C">
      <w:pPr>
        <w:rPr>
          <w:color w:val="auto"/>
        </w:rPr>
      </w:pPr>
      <w:r>
        <w:rPr>
          <w:color w:val="auto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2722"/>
        <w15:color w:val="DBDBDB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/>
          <w:bCs/>
          <w:color w:val="auto"/>
          <w:sz w:val="32"/>
          <w:szCs w:val="28"/>
          <w:lang w:val="en-US" w:eastAsia="en-US" w:bidi="ar-SA"/>
        </w:rPr>
      </w:sdtEndPr>
      <w:sdtContent>
        <w:p w14:paraId="7337313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sz w:val="21"/>
            </w:rPr>
            <w:t>目录</w:t>
          </w:r>
        </w:p>
        <w:p w14:paraId="16298ABF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color w:val="auto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_Toc6652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 引言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_Toc6652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6ED699E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_Toc10911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 部署架构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_Toc10911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2687AAC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_Toc5967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2.1 拓扑说明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_Toc5967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5F92B8E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_Toc22565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2.2 组件职责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_Toc22565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B79FAE5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_Toc6370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2.3 网络与访问路径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_Toc6370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CEB6484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_Toc17690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 环境配置与依赖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_Toc17690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7208B63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_Toc19606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 基础环境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_Toc19606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7B6FA66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_Toc19305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3.2 后端主要依赖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_Toc19305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5BB87D9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_Toc8712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3.3 前端主要依赖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_Toc8712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1E221C6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_Toc11283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 部署步骤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_Toc11283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8EFC660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_Toc3757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 本地开发部署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_Toc3757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180BCA5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_Toc9573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 一键/脚本化准备（如有）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_Toc9573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FE722C0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_Toc9112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</w:t>
          </w:r>
          <w:r>
            <w:rPr>
              <w:rFonts w:hint="eastAsia" w:ascii="黑体" w:hAnsi="黑体" w:eastAsia="黑体" w:cs="黑体"/>
              <w:lang w:val="en-US" w:eastAsia="zh-CN"/>
            </w:rPr>
            <w:t>3</w:t>
          </w:r>
          <w:r>
            <w:rPr>
              <w:rFonts w:hint="eastAsia" w:ascii="黑体" w:hAnsi="黑体" w:eastAsia="黑体" w:cs="黑体"/>
            </w:rPr>
            <w:t xml:space="preserve"> 启动验证清单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_Toc9112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C9D3D1A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_Toc10269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 配置项说明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_Toc10269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4E3E843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_Toc2728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 监控与告警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_Toc2728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452C3728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_Toc2664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 监控目标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_Toc2664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65FB9B6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_Toc28147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 关键监控指标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_Toc28147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B12D9F4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_Toc20512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6.3 告警级别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_Toc20512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BADEEB7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_Toc9120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6.4 观察面板建议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_Toc9120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96BB566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_Toc6583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 日常运维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_Toc6583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98AEA2C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_Toc2458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7.1 日常检查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_Toc2458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74DCC62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_Toc6060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7.2 变更发布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_Toc6060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E16BD0D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_Toc6071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7.3 数据与知识库运维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_Toc6071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81CA92F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_Toc3714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 备份恢复与应急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_Toc3714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8FAE9E3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_Toc9294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8.1 备份对象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_Toc9294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2A20DF5">
          <w:pPr>
            <w:pStyle w:val="29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_Toc6030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8.2 常见应急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_Toc6030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70C689F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_Toc30294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 安全运维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_Toc30294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42DA4DC7">
          <w:pPr>
            <w:pStyle w:val="26"/>
            <w:tabs>
              <w:tab w:val="right" w:leader="dot" w:pos="907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_Toc27927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 验收与交付检查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_Toc27927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8321BC8">
          <w:pPr>
            <w:pStyle w:val="3"/>
            <w:rPr>
              <w:rFonts w:asciiTheme="majorHAnsi" w:hAnsiTheme="majorHAnsi" w:eastAsiaTheme="majorEastAsia" w:cstheme="majorBidi"/>
              <w:b/>
              <w:bCs/>
              <w:color w:val="auto"/>
              <w:sz w:val="32"/>
              <w:szCs w:val="28"/>
              <w:lang w:val="en-US" w:eastAsia="en-US" w:bidi="ar-SA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</w:sdtContent>
    </w:sdt>
    <w:p w14:paraId="3E4944F3"/>
    <w:p w14:paraId="303437D4">
      <w:pPr>
        <w:pStyle w:val="3"/>
        <w:rPr>
          <w:rFonts w:hint="eastAsia" w:ascii="黑体" w:hAnsi="黑体" w:eastAsia="黑体" w:cs="黑体"/>
          <w:color w:val="auto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  <w:bookmarkStart w:id="0" w:name="_Toc6652"/>
    </w:p>
    <w:p w14:paraId="5DF9D582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1 引言</w:t>
      </w:r>
      <w:bookmarkEnd w:id="0"/>
    </w:p>
    <w:p w14:paraId="427856D3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本文档说明 C学伴（学途智导） 的部署拓扑、环境依赖、安装启动、配置项、监控告警、日常运维与应急处理，适用于本地开发与小规模试运行。</w:t>
      </w:r>
    </w:p>
    <w:p w14:paraId="5F0BF5BD">
      <w:pPr>
        <w:pStyle w:val="3"/>
        <w:rPr>
          <w:rFonts w:hint="eastAsia" w:ascii="黑体" w:hAnsi="黑体" w:eastAsia="黑体" w:cs="黑体"/>
          <w:color w:val="auto"/>
        </w:rPr>
      </w:pPr>
      <w:bookmarkStart w:id="1" w:name="_Toc10911"/>
      <w:r>
        <w:rPr>
          <w:rFonts w:hint="eastAsia" w:ascii="黑体" w:hAnsi="黑体" w:eastAsia="黑体" w:cs="黑体"/>
          <w:color w:val="auto"/>
        </w:rPr>
        <w:t>2 部署架构</w:t>
      </w:r>
      <w:bookmarkEnd w:id="1"/>
    </w:p>
    <w:p w14:paraId="5BE0092A">
      <w:pPr>
        <w:pStyle w:val="4"/>
        <w:rPr>
          <w:rFonts w:hint="eastAsia" w:ascii="黑体" w:hAnsi="黑体" w:eastAsia="黑体" w:cs="黑体"/>
          <w:color w:val="auto"/>
        </w:rPr>
      </w:pPr>
      <w:bookmarkStart w:id="2" w:name="_Toc5967"/>
      <w:r>
        <w:rPr>
          <w:rFonts w:hint="eastAsia" w:ascii="黑体" w:hAnsi="黑体" w:eastAsia="黑体" w:cs="黑体"/>
          <w:color w:val="auto"/>
        </w:rPr>
        <w:t>2.1 拓扑说明</w:t>
      </w:r>
      <w:bookmarkEnd w:id="2"/>
    </w:p>
    <w:p w14:paraId="714A4D15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推荐拓扑由前端、后端 API、MySQL、向量库、LLM 服务与媒体/日志存储组成。开发环境可单机部署；生产可把前端静态资源放到 Nginx，后端多实例扩展。</w:t>
      </w:r>
    </w:p>
    <w:p w14:paraId="5C1DDDA3">
      <w:pPr>
        <w:jc w:val="center"/>
        <w:rPr>
          <w:color w:val="auto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60720" cy="2181225"/>
            <wp:effectExtent l="0" t="0" r="0" b="0"/>
            <wp:docPr id="7" name="图片 7" descr="部署拓扑与运行依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部署拓扑与运行依赖图"/>
                    <pic:cNvPicPr>
                      <a:picLocks noChangeAspect="1"/>
                    </pic:cNvPicPr>
                  </pic:nvPicPr>
                  <pic:blipFill>
                    <a:blip r:embed="rId7"/>
                    <a:srcRect t="17284" b="22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CC9A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图2-1 部署拓扑图</w:t>
      </w:r>
    </w:p>
    <w:p w14:paraId="7DB3BB49">
      <w:pPr>
        <w:pStyle w:val="4"/>
        <w:rPr>
          <w:rFonts w:hint="eastAsia" w:ascii="黑体" w:hAnsi="黑体" w:eastAsia="黑体" w:cs="黑体"/>
          <w:color w:val="auto"/>
        </w:rPr>
      </w:pPr>
      <w:bookmarkStart w:id="3" w:name="_Toc22565"/>
      <w:r>
        <w:rPr>
          <w:rFonts w:hint="eastAsia" w:ascii="黑体" w:hAnsi="黑体" w:eastAsia="黑体" w:cs="黑体"/>
          <w:color w:val="auto"/>
        </w:rPr>
        <w:t>2.2 组件职责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3586"/>
        <w:gridCol w:w="3704"/>
      </w:tblGrid>
      <w:tr w14:paraId="55C8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1D5861C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组件</w:t>
            </w:r>
          </w:p>
        </w:tc>
        <w:tc>
          <w:tcPr>
            <w:tcW w:w="3586" w:type="dxa"/>
          </w:tcPr>
          <w:p w14:paraId="47A5C87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职责</w:t>
            </w:r>
          </w:p>
        </w:tc>
        <w:tc>
          <w:tcPr>
            <w:tcW w:w="3704" w:type="dxa"/>
          </w:tcPr>
          <w:p w14:paraId="4966016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默认端口/位置</w:t>
            </w:r>
          </w:p>
        </w:tc>
      </w:tr>
      <w:tr w14:paraId="06C1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5FE92A6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Vue 前端</w:t>
            </w:r>
          </w:p>
        </w:tc>
        <w:tc>
          <w:tcPr>
            <w:tcW w:w="3586" w:type="dxa"/>
          </w:tcPr>
          <w:p w14:paraId="2CA4E24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用户界面与交互</w:t>
            </w:r>
          </w:p>
        </w:tc>
        <w:tc>
          <w:tcPr>
            <w:tcW w:w="3704" w:type="dxa"/>
          </w:tcPr>
          <w:p w14:paraId="71551F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5173（开发）/ 80（Nginx）</w:t>
            </w:r>
          </w:p>
        </w:tc>
      </w:tr>
      <w:tr w14:paraId="57DAF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2CD41B6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FastAPI 后端</w:t>
            </w:r>
          </w:p>
        </w:tc>
        <w:tc>
          <w:tcPr>
            <w:tcW w:w="3586" w:type="dxa"/>
          </w:tcPr>
          <w:p w14:paraId="790AE4A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API、鉴权、智能体编排</w:t>
            </w:r>
          </w:p>
        </w:tc>
        <w:tc>
          <w:tcPr>
            <w:tcW w:w="3704" w:type="dxa"/>
          </w:tcPr>
          <w:p w14:paraId="29DADA1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8000</w:t>
            </w:r>
          </w:p>
        </w:tc>
      </w:tr>
      <w:tr w14:paraId="62B8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3B281D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3586" w:type="dxa"/>
          </w:tcPr>
          <w:p w14:paraId="6918E2C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业务数据</w:t>
            </w:r>
          </w:p>
        </w:tc>
        <w:tc>
          <w:tcPr>
            <w:tcW w:w="3704" w:type="dxa"/>
          </w:tcPr>
          <w:p w14:paraId="760B48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3306</w:t>
            </w:r>
          </w:p>
        </w:tc>
      </w:tr>
      <w:tr w14:paraId="74A9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684283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Chroma</w:t>
            </w:r>
          </w:p>
        </w:tc>
        <w:tc>
          <w:tcPr>
            <w:tcW w:w="3586" w:type="dxa"/>
          </w:tcPr>
          <w:p w14:paraId="52E588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向量知识库</w:t>
            </w:r>
          </w:p>
        </w:tc>
        <w:tc>
          <w:tcPr>
            <w:tcW w:w="3704" w:type="dxa"/>
          </w:tcPr>
          <w:p w14:paraId="1D55CFC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本地持久目录</w:t>
            </w:r>
          </w:p>
        </w:tc>
      </w:tr>
      <w:tr w14:paraId="3F71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56D19C0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服务</w:t>
            </w:r>
          </w:p>
        </w:tc>
        <w:tc>
          <w:tcPr>
            <w:tcW w:w="3586" w:type="dxa"/>
          </w:tcPr>
          <w:p w14:paraId="6456392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生成与对话</w:t>
            </w:r>
          </w:p>
        </w:tc>
        <w:tc>
          <w:tcPr>
            <w:tcW w:w="3704" w:type="dxa"/>
          </w:tcPr>
          <w:p w14:paraId="1FE2882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外部 API 或 Mock</w:t>
            </w:r>
          </w:p>
        </w:tc>
      </w:tr>
      <w:tr w14:paraId="047B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579318B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3586" w:type="dxa"/>
          </w:tcPr>
          <w:p w14:paraId="0C225B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课件/视频/图片</w:t>
            </w:r>
          </w:p>
        </w:tc>
        <w:tc>
          <w:tcPr>
            <w:tcW w:w="3704" w:type="dxa"/>
          </w:tcPr>
          <w:p w14:paraId="36D6723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 媒体目录</w:t>
            </w:r>
          </w:p>
        </w:tc>
      </w:tr>
      <w:tr w14:paraId="1385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7112905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Logs</w:t>
            </w:r>
          </w:p>
        </w:tc>
        <w:tc>
          <w:tcPr>
            <w:tcW w:w="3586" w:type="dxa"/>
          </w:tcPr>
          <w:p w14:paraId="104390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审计与排障</w:t>
            </w:r>
          </w:p>
        </w:tc>
        <w:tc>
          <w:tcPr>
            <w:tcW w:w="3704" w:type="dxa"/>
          </w:tcPr>
          <w:p w14:paraId="3197E32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系统日志表/文件</w:t>
            </w:r>
          </w:p>
        </w:tc>
      </w:tr>
    </w:tbl>
    <w:p w14:paraId="3F53A5CA">
      <w:pPr>
        <w:rPr>
          <w:color w:val="auto"/>
        </w:rPr>
      </w:pPr>
    </w:p>
    <w:p w14:paraId="434219E3">
      <w:pPr>
        <w:pStyle w:val="4"/>
        <w:rPr>
          <w:rFonts w:hint="eastAsia" w:ascii="黑体" w:hAnsi="黑体" w:eastAsia="黑体" w:cs="黑体"/>
          <w:color w:val="auto"/>
        </w:rPr>
      </w:pPr>
      <w:bookmarkStart w:id="4" w:name="_Toc6370"/>
      <w:r>
        <w:rPr>
          <w:rFonts w:hint="eastAsia" w:ascii="黑体" w:hAnsi="黑体" w:eastAsia="黑体" w:cs="黑体"/>
          <w:color w:val="auto"/>
        </w:rPr>
        <w:t>2.3 网络与访问路径</w:t>
      </w:r>
      <w:bookmarkEnd w:id="4"/>
    </w:p>
    <w:p w14:paraId="1AF9EF3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浏览器 → 前端页面。</w:t>
      </w:r>
    </w:p>
    <w:p w14:paraId="57A2ADA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前端 → http(s)://&lt;host&gt;:8000/api。</w:t>
      </w:r>
    </w:p>
    <w:p w14:paraId="5DADA42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后端 → MySQL / Chroma / LLM / Media。</w:t>
      </w:r>
    </w:p>
    <w:p w14:paraId="0F23E05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健康检查：/api/health；就绪检查：/api/readiness。</w:t>
      </w:r>
    </w:p>
    <w:p w14:paraId="0163A9D1">
      <w:pPr>
        <w:pStyle w:val="3"/>
        <w:rPr>
          <w:rFonts w:hint="eastAsia" w:ascii="黑体" w:hAnsi="黑体" w:eastAsia="黑体" w:cs="黑体"/>
          <w:color w:val="auto"/>
        </w:rPr>
      </w:pPr>
      <w:bookmarkStart w:id="5" w:name="_Toc17690"/>
      <w:r>
        <w:rPr>
          <w:rFonts w:hint="eastAsia" w:ascii="黑体" w:hAnsi="黑体" w:eastAsia="黑体" w:cs="黑体"/>
          <w:color w:val="auto"/>
        </w:rPr>
        <w:t>3 环境配置与依赖</w:t>
      </w:r>
      <w:bookmarkEnd w:id="5"/>
    </w:p>
    <w:p w14:paraId="2BB9CEDC">
      <w:pPr>
        <w:pStyle w:val="4"/>
        <w:rPr>
          <w:rFonts w:hint="eastAsia" w:ascii="黑体" w:hAnsi="黑体" w:eastAsia="黑体" w:cs="黑体"/>
          <w:color w:val="auto"/>
        </w:rPr>
      </w:pPr>
      <w:bookmarkStart w:id="6" w:name="_Toc19606"/>
      <w:r>
        <w:rPr>
          <w:rFonts w:hint="eastAsia" w:ascii="黑体" w:hAnsi="黑体" w:eastAsia="黑体" w:cs="黑体"/>
          <w:color w:val="auto"/>
        </w:rPr>
        <w:t>3.1 基础环境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9CD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7FF4A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依赖</w:t>
            </w:r>
          </w:p>
        </w:tc>
        <w:tc>
          <w:tcPr>
            <w:tcW w:w="3024" w:type="dxa"/>
          </w:tcPr>
          <w:p w14:paraId="0C99AB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建议版本</w:t>
            </w:r>
          </w:p>
        </w:tc>
        <w:tc>
          <w:tcPr>
            <w:tcW w:w="3024" w:type="dxa"/>
          </w:tcPr>
          <w:p w14:paraId="0482C9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用途</w:t>
            </w:r>
          </w:p>
        </w:tc>
      </w:tr>
      <w:tr w14:paraId="2948D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E3A6E0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Python</w:t>
            </w:r>
          </w:p>
        </w:tc>
        <w:tc>
          <w:tcPr>
            <w:tcW w:w="3024" w:type="dxa"/>
          </w:tcPr>
          <w:p w14:paraId="5399803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3.10+</w:t>
            </w:r>
          </w:p>
        </w:tc>
        <w:tc>
          <w:tcPr>
            <w:tcW w:w="3024" w:type="dxa"/>
          </w:tcPr>
          <w:p w14:paraId="629EC3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后端运行</w:t>
            </w:r>
          </w:p>
        </w:tc>
      </w:tr>
      <w:tr w14:paraId="11CE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3E619B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Node.js</w:t>
            </w:r>
          </w:p>
        </w:tc>
        <w:tc>
          <w:tcPr>
            <w:tcW w:w="3024" w:type="dxa"/>
          </w:tcPr>
          <w:p w14:paraId="5E40C2F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18+</w:t>
            </w:r>
          </w:p>
        </w:tc>
        <w:tc>
          <w:tcPr>
            <w:tcW w:w="3024" w:type="dxa"/>
          </w:tcPr>
          <w:p w14:paraId="484A88F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前端构建/开发</w:t>
            </w:r>
          </w:p>
        </w:tc>
      </w:tr>
      <w:tr w14:paraId="785A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C52FE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3024" w:type="dxa"/>
          </w:tcPr>
          <w:p w14:paraId="71EBBCF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8.x</w:t>
            </w:r>
          </w:p>
        </w:tc>
        <w:tc>
          <w:tcPr>
            <w:tcW w:w="3024" w:type="dxa"/>
          </w:tcPr>
          <w:p w14:paraId="7C0D56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业务库</w:t>
            </w:r>
          </w:p>
        </w:tc>
      </w:tr>
      <w:tr w14:paraId="3928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FBF13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Git</w:t>
            </w:r>
          </w:p>
        </w:tc>
        <w:tc>
          <w:tcPr>
            <w:tcW w:w="3024" w:type="dxa"/>
          </w:tcPr>
          <w:p w14:paraId="4DDA54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2.x</w:t>
            </w:r>
          </w:p>
        </w:tc>
        <w:tc>
          <w:tcPr>
            <w:tcW w:w="3024" w:type="dxa"/>
          </w:tcPr>
          <w:p w14:paraId="390280D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代码管理</w:t>
            </w:r>
          </w:p>
        </w:tc>
      </w:tr>
      <w:tr w14:paraId="34A4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682AB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Docker/Compose</w:t>
            </w:r>
          </w:p>
        </w:tc>
        <w:tc>
          <w:tcPr>
            <w:tcW w:w="3024" w:type="dxa"/>
          </w:tcPr>
          <w:p w14:paraId="1E6A3A6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可选</w:t>
            </w:r>
          </w:p>
        </w:tc>
        <w:tc>
          <w:tcPr>
            <w:tcW w:w="3024" w:type="dxa"/>
          </w:tcPr>
          <w:p w14:paraId="7C10032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容器化演示</w:t>
            </w:r>
          </w:p>
        </w:tc>
      </w:tr>
    </w:tbl>
    <w:p w14:paraId="5BC790B4">
      <w:pPr>
        <w:rPr>
          <w:color w:val="auto"/>
        </w:rPr>
      </w:pPr>
    </w:p>
    <w:p w14:paraId="1A5F0ADA">
      <w:pPr>
        <w:pStyle w:val="4"/>
        <w:rPr>
          <w:rFonts w:hint="eastAsia" w:ascii="黑体" w:hAnsi="黑体" w:eastAsia="黑体" w:cs="黑体"/>
          <w:color w:val="auto"/>
        </w:rPr>
      </w:pPr>
      <w:bookmarkStart w:id="7" w:name="_Toc19305"/>
      <w:r>
        <w:rPr>
          <w:rFonts w:hint="eastAsia" w:ascii="黑体" w:hAnsi="黑体" w:eastAsia="黑体" w:cs="黑体"/>
          <w:color w:val="auto"/>
        </w:rPr>
        <w:t>3.2 后端主要依赖</w:t>
      </w:r>
      <w:bookmarkEnd w:id="7"/>
    </w:p>
    <w:p w14:paraId="79A37059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以 backend/requirements.txt 为准，核心包括 FastAPI、Uvicorn、SQLAlchemy、JWT、数据库驱动、RAG/向量与 LLM 客户端相关库、文档解析与测试库等。</w:t>
      </w:r>
    </w:p>
    <w:p w14:paraId="521A983F">
      <w:pPr>
        <w:pStyle w:val="4"/>
        <w:rPr>
          <w:rFonts w:hint="eastAsia" w:ascii="黑体" w:hAnsi="黑体" w:eastAsia="黑体" w:cs="黑体"/>
          <w:color w:val="auto"/>
        </w:rPr>
      </w:pPr>
      <w:bookmarkStart w:id="8" w:name="_Toc8712"/>
      <w:r>
        <w:rPr>
          <w:rFonts w:hint="eastAsia" w:ascii="黑体" w:hAnsi="黑体" w:eastAsia="黑体" w:cs="黑体"/>
          <w:color w:val="auto"/>
        </w:rPr>
        <w:t>3.3 前端主要依赖</w:t>
      </w:r>
      <w:bookmarkEnd w:id="8"/>
    </w:p>
    <w:p w14:paraId="3AB11673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以 frontend/package.json 为准，核心包括 Vue3、Vue Router、Pinia、Vite、ECharts 与 TypeScript 工具链。</w:t>
      </w:r>
    </w:p>
    <w:p w14:paraId="155B0B84">
      <w:pPr>
        <w:pStyle w:val="3"/>
        <w:rPr>
          <w:color w:val="auto"/>
        </w:rPr>
      </w:pPr>
      <w:bookmarkStart w:id="9" w:name="_Toc11283"/>
      <w:r>
        <w:rPr>
          <w:color w:val="auto"/>
        </w:rPr>
        <w:t>4 部署步骤</w:t>
      </w:r>
      <w:bookmarkEnd w:id="9"/>
    </w:p>
    <w:p w14:paraId="1FB799CF">
      <w:pPr>
        <w:pStyle w:val="4"/>
        <w:rPr>
          <w:color w:val="auto"/>
        </w:rPr>
      </w:pPr>
      <w:bookmarkStart w:id="10" w:name="_Toc3757"/>
      <w:r>
        <w:rPr>
          <w:color w:val="auto"/>
        </w:rPr>
        <w:t>4.1 本地开发部署</w:t>
      </w:r>
      <w:bookmarkEnd w:id="10"/>
    </w:p>
    <w:p w14:paraId="2657CEAA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克隆/准备代码仓库。</w:t>
      </w:r>
    </w:p>
    <w:p w14:paraId="5CD6359C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准备 MySQL，创建数据库与账号。</w:t>
      </w:r>
    </w:p>
    <w:p w14:paraId="083E9D16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配置后端环境变量或 .env（数据库、JWT、LLM、媒体目录等）。</w:t>
      </w:r>
    </w:p>
    <w:p w14:paraId="49C82CB7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安装后端依赖并启动 Uvicorn。</w:t>
      </w:r>
    </w:p>
    <w:p w14:paraId="060B664C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安装前端依赖并启动 Vite。</w:t>
      </w:r>
    </w:p>
    <w:p w14:paraId="4254A930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访问前端地址，调用 /api/health 与 /api/readiness 验证。</w:t>
      </w:r>
    </w:p>
    <w:p w14:paraId="11E17FC4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使用学生账号走通画像—资源—计划—答疑—报告。</w:t>
      </w:r>
    </w:p>
    <w:p w14:paraId="1DD18D31">
      <w:pPr>
        <w:pStyle w:val="4"/>
        <w:rPr>
          <w:color w:val="auto"/>
        </w:rPr>
      </w:pPr>
      <w:bookmarkStart w:id="11" w:name="_Toc9573"/>
      <w:r>
        <w:rPr>
          <w:color w:val="auto"/>
        </w:rPr>
        <w:t>4.2 一键/脚本化准备（如有）</w:t>
      </w:r>
      <w:bookmarkEnd w:id="11"/>
    </w:p>
    <w:p w14:paraId="3F085EB2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项目支持将默认 C 语言课程资料导入知识库目录并登记文档记录，快速具备 RAG 演示能力。执行前应确认数据目录可写、数据库可连。</w:t>
      </w:r>
    </w:p>
    <w:p w14:paraId="0387ABD7">
      <w:pPr>
        <w:pStyle w:val="4"/>
        <w:rPr>
          <w:color w:val="auto"/>
        </w:rPr>
      </w:pPr>
      <w:bookmarkStart w:id="12" w:name="_Toc9112"/>
      <w:r>
        <w:rPr>
          <w:color w:val="auto"/>
        </w:rPr>
        <w:t>4.</w:t>
      </w:r>
      <w:r>
        <w:rPr>
          <w:rFonts w:hint="eastAsia" w:eastAsia="宋体"/>
          <w:color w:val="auto"/>
          <w:lang w:val="en-US" w:eastAsia="zh-CN"/>
        </w:rPr>
        <w:t>3</w:t>
      </w:r>
      <w:r>
        <w:rPr>
          <w:color w:val="auto"/>
        </w:rPr>
        <w:t xml:space="preserve"> 启动验证清单</w:t>
      </w:r>
      <w:bookmarkEnd w:id="12"/>
    </w:p>
    <w:p w14:paraId="67C368A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前端页面可打开</w:t>
      </w:r>
    </w:p>
    <w:p w14:paraId="649B5A6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/api/health 返回成功</w:t>
      </w:r>
    </w:p>
    <w:p w14:paraId="48E8143E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/api/readiness 显示数据库就绪</w:t>
      </w:r>
    </w:p>
    <w:p w14:paraId="5DE0047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注册登录成功</w:t>
      </w:r>
    </w:p>
    <w:p w14:paraId="46C80D0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知识库至少有一份 C 语言资料</w:t>
      </w:r>
    </w:p>
    <w:p w14:paraId="05665E9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任一带 AI 的主功能可返回结果或可读降级</w:t>
      </w:r>
    </w:p>
    <w:p w14:paraId="3FAB16FE">
      <w:pPr>
        <w:pStyle w:val="3"/>
        <w:rPr>
          <w:rFonts w:hint="eastAsia" w:ascii="黑体" w:hAnsi="黑体" w:eastAsia="黑体" w:cs="黑体"/>
          <w:color w:val="auto"/>
        </w:rPr>
      </w:pPr>
      <w:bookmarkStart w:id="13" w:name="_Toc10269"/>
      <w:r>
        <w:rPr>
          <w:rFonts w:hint="eastAsia" w:ascii="黑体" w:hAnsi="黑体" w:eastAsia="黑体" w:cs="黑体"/>
          <w:color w:val="auto"/>
        </w:rPr>
        <w:t>5 配置项说明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2676"/>
        <w:gridCol w:w="3741"/>
      </w:tblGrid>
      <w:tr w14:paraId="6745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472D81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配置项</w:t>
            </w:r>
          </w:p>
        </w:tc>
        <w:tc>
          <w:tcPr>
            <w:tcW w:w="2676" w:type="dxa"/>
          </w:tcPr>
          <w:p w14:paraId="2CCD2C1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含义</w:t>
            </w:r>
          </w:p>
        </w:tc>
        <w:tc>
          <w:tcPr>
            <w:tcW w:w="3741" w:type="dxa"/>
          </w:tcPr>
          <w:p w14:paraId="31699A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建议</w:t>
            </w:r>
          </w:p>
        </w:tc>
      </w:tr>
      <w:tr w14:paraId="5FB7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78E1C43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DATABASE_URL / DB_*</w:t>
            </w:r>
          </w:p>
        </w:tc>
        <w:tc>
          <w:tcPr>
            <w:tcW w:w="2676" w:type="dxa"/>
          </w:tcPr>
          <w:p w14:paraId="4897564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数据库连接</w:t>
            </w:r>
          </w:p>
        </w:tc>
        <w:tc>
          <w:tcPr>
            <w:tcW w:w="3741" w:type="dxa"/>
          </w:tcPr>
          <w:p w14:paraId="32183B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演示与生产分离账号权限</w:t>
            </w:r>
          </w:p>
        </w:tc>
      </w:tr>
      <w:tr w14:paraId="74C4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0C205B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JWT_SECRET</w:t>
            </w:r>
          </w:p>
        </w:tc>
        <w:tc>
          <w:tcPr>
            <w:tcW w:w="2676" w:type="dxa"/>
          </w:tcPr>
          <w:p w14:paraId="13E1BBA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令牌密钥</w:t>
            </w:r>
          </w:p>
        </w:tc>
        <w:tc>
          <w:tcPr>
            <w:tcW w:w="3741" w:type="dxa"/>
          </w:tcPr>
          <w:p w14:paraId="19C7F34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使用高强度随机串，勿提交仓库</w:t>
            </w:r>
          </w:p>
        </w:tc>
      </w:tr>
      <w:tr w14:paraId="6FDF6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21516F4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LLM_API_KEY/BASE_URL</w:t>
            </w:r>
          </w:p>
        </w:tc>
        <w:tc>
          <w:tcPr>
            <w:tcW w:w="2676" w:type="dxa"/>
          </w:tcPr>
          <w:p w14:paraId="1D30D6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模型服务</w:t>
            </w:r>
          </w:p>
        </w:tc>
        <w:tc>
          <w:tcPr>
            <w:tcW w:w="3741" w:type="dxa"/>
          </w:tcPr>
          <w:p w14:paraId="1DE548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按供应商配置，可切换</w:t>
            </w:r>
          </w:p>
        </w:tc>
      </w:tr>
      <w:tr w14:paraId="0D17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52CB44D7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USE_MOCK_LLM</w:t>
            </w:r>
          </w:p>
        </w:tc>
        <w:tc>
          <w:tcPr>
            <w:tcW w:w="2676" w:type="dxa"/>
          </w:tcPr>
          <w:p w14:paraId="2F88ADF1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是否强制 Mock</w:t>
            </w:r>
          </w:p>
        </w:tc>
        <w:tc>
          <w:tcPr>
            <w:tcW w:w="3741" w:type="dxa"/>
          </w:tcPr>
          <w:p w14:paraId="4E62A555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现场无网/无密钥时启用</w:t>
            </w:r>
          </w:p>
        </w:tc>
      </w:tr>
      <w:tr w14:paraId="0BB7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41EC177D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CORS_ORIGINS</w:t>
            </w:r>
          </w:p>
        </w:tc>
        <w:tc>
          <w:tcPr>
            <w:tcW w:w="2676" w:type="dxa"/>
          </w:tcPr>
          <w:p w14:paraId="19B0875F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跨域白名单</w:t>
            </w:r>
          </w:p>
        </w:tc>
        <w:tc>
          <w:tcPr>
            <w:tcW w:w="3741" w:type="dxa"/>
          </w:tcPr>
          <w:p w14:paraId="4883CEC8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仅放开前端来源</w:t>
            </w:r>
          </w:p>
        </w:tc>
      </w:tr>
      <w:tr w14:paraId="5D66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6CB4529F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MEDIA_ROOT</w:t>
            </w:r>
          </w:p>
        </w:tc>
        <w:tc>
          <w:tcPr>
            <w:tcW w:w="2676" w:type="dxa"/>
          </w:tcPr>
          <w:p w14:paraId="0A7D6904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媒体目录</w:t>
            </w:r>
          </w:p>
        </w:tc>
        <w:tc>
          <w:tcPr>
            <w:tcW w:w="3741" w:type="dxa"/>
          </w:tcPr>
          <w:p w14:paraId="3EFF1EF4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保证磁盘空间与备份</w:t>
            </w:r>
          </w:p>
        </w:tc>
      </w:tr>
      <w:tr w14:paraId="4A77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24E2BCF4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CHROMA/KB 路径</w:t>
            </w:r>
          </w:p>
        </w:tc>
        <w:tc>
          <w:tcPr>
            <w:tcW w:w="2676" w:type="dxa"/>
          </w:tcPr>
          <w:p w14:paraId="57DD9BB3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向量与知识库位置</w:t>
            </w:r>
          </w:p>
        </w:tc>
        <w:tc>
          <w:tcPr>
            <w:tcW w:w="3741" w:type="dxa"/>
          </w:tcPr>
          <w:p w14:paraId="61059E1D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持久化到稳定磁盘</w:t>
            </w:r>
          </w:p>
        </w:tc>
      </w:tr>
      <w:tr w14:paraId="43C8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</w:tcPr>
          <w:p w14:paraId="56750363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LOG_LEVEL</w:t>
            </w:r>
          </w:p>
        </w:tc>
        <w:tc>
          <w:tcPr>
            <w:tcW w:w="2676" w:type="dxa"/>
          </w:tcPr>
          <w:p w14:paraId="249FE055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日志级别</w:t>
            </w:r>
          </w:p>
        </w:tc>
        <w:tc>
          <w:tcPr>
            <w:tcW w:w="3741" w:type="dxa"/>
          </w:tcPr>
          <w:p w14:paraId="2839817E"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演示 info，排障 debug</w:t>
            </w:r>
          </w:p>
        </w:tc>
      </w:tr>
    </w:tbl>
    <w:p w14:paraId="5327438D">
      <w:pPr>
        <w:rPr>
          <w:color w:val="auto"/>
        </w:rPr>
      </w:pPr>
    </w:p>
    <w:p w14:paraId="3008A29F">
      <w:pPr>
        <w:pStyle w:val="3"/>
        <w:rPr>
          <w:rFonts w:hint="eastAsia" w:ascii="黑体" w:hAnsi="黑体" w:eastAsia="黑体" w:cs="黑体"/>
          <w:color w:val="auto"/>
        </w:rPr>
      </w:pPr>
      <w:bookmarkStart w:id="14" w:name="_Toc2728"/>
      <w:r>
        <w:rPr>
          <w:rFonts w:hint="eastAsia" w:ascii="黑体" w:hAnsi="黑体" w:eastAsia="黑体" w:cs="黑体"/>
          <w:color w:val="auto"/>
        </w:rPr>
        <w:t>6 监控与告警</w:t>
      </w:r>
      <w:bookmarkEnd w:id="14"/>
    </w:p>
    <w:p w14:paraId="2164B8D2">
      <w:pPr>
        <w:pStyle w:val="4"/>
        <w:rPr>
          <w:rFonts w:hint="eastAsia" w:ascii="黑体" w:hAnsi="黑体" w:eastAsia="黑体" w:cs="黑体"/>
          <w:color w:val="auto"/>
        </w:rPr>
      </w:pPr>
      <w:bookmarkStart w:id="15" w:name="_Toc2664"/>
      <w:r>
        <w:rPr>
          <w:rFonts w:hint="eastAsia" w:ascii="黑体" w:hAnsi="黑体" w:eastAsia="黑体" w:cs="黑体"/>
          <w:color w:val="auto"/>
        </w:rPr>
        <w:t>6.1 监控目标</w:t>
      </w:r>
      <w:bookmarkEnd w:id="15"/>
      <w:bookmarkStart w:id="28" w:name="_GoBack"/>
      <w:bookmarkEnd w:id="28"/>
    </w:p>
    <w:p w14:paraId="124D710A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监控围绕“能不能用、快不快、AI 稳不稳、内容管不管得住”展开，覆盖接口、依赖、智能体任务、知识库与安全事件。</w:t>
      </w:r>
    </w:p>
    <w:p w14:paraId="7E12672E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405120" cy="704850"/>
            <wp:effectExtent l="0" t="0" r="0" b="0"/>
            <wp:docPr id="1" name="图片 1" descr="10_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_monitoring"/>
                    <pic:cNvPicPr>
                      <a:picLocks noChangeAspect="1"/>
                    </pic:cNvPicPr>
                  </pic:nvPicPr>
                  <pic:blipFill>
                    <a:blip r:embed="rId8"/>
                    <a:srcRect l="3075" t="17456" r="3097" b="64419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28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图6-1 监控与告警链路</w:t>
      </w:r>
    </w:p>
    <w:p w14:paraId="620ACDFB">
      <w:pPr>
        <w:pStyle w:val="4"/>
        <w:rPr>
          <w:rFonts w:hint="eastAsia" w:ascii="黑体" w:hAnsi="黑体" w:eastAsia="黑体" w:cs="黑体"/>
          <w:color w:val="auto"/>
        </w:rPr>
      </w:pPr>
      <w:bookmarkStart w:id="16" w:name="_Toc28147"/>
      <w:r>
        <w:rPr>
          <w:rFonts w:hint="eastAsia" w:ascii="黑体" w:hAnsi="黑体" w:eastAsia="黑体" w:cs="黑体"/>
          <w:color w:val="auto"/>
        </w:rPr>
        <w:t>6.2 关键监控指标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2272"/>
        <w:gridCol w:w="2717"/>
        <w:gridCol w:w="3111"/>
      </w:tblGrid>
      <w:tr w14:paraId="60A0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D9B8B3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类别</w:t>
            </w:r>
          </w:p>
        </w:tc>
        <w:tc>
          <w:tcPr>
            <w:tcW w:w="2272" w:type="dxa"/>
          </w:tcPr>
          <w:p w14:paraId="74D8799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指标</w:t>
            </w:r>
          </w:p>
        </w:tc>
        <w:tc>
          <w:tcPr>
            <w:tcW w:w="2717" w:type="dxa"/>
          </w:tcPr>
          <w:p w14:paraId="59038BC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采集来源</w:t>
            </w:r>
          </w:p>
        </w:tc>
        <w:tc>
          <w:tcPr>
            <w:tcW w:w="3111" w:type="dxa"/>
          </w:tcPr>
          <w:p w14:paraId="085206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告警阈值（建议）</w:t>
            </w:r>
          </w:p>
        </w:tc>
      </w:tr>
      <w:tr w14:paraId="59BA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9C1CB3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2272" w:type="dxa"/>
          </w:tcPr>
          <w:p w14:paraId="433AC72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服务存活</w:t>
            </w:r>
          </w:p>
        </w:tc>
        <w:tc>
          <w:tcPr>
            <w:tcW w:w="2717" w:type="dxa"/>
          </w:tcPr>
          <w:p w14:paraId="495C1BB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health</w:t>
            </w:r>
          </w:p>
        </w:tc>
        <w:tc>
          <w:tcPr>
            <w:tcW w:w="3111" w:type="dxa"/>
          </w:tcPr>
          <w:p w14:paraId="3DE134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连续 2 次失败</w:t>
            </w:r>
          </w:p>
        </w:tc>
      </w:tr>
      <w:tr w14:paraId="6111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21AB79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就绪</w:t>
            </w:r>
          </w:p>
        </w:tc>
        <w:tc>
          <w:tcPr>
            <w:tcW w:w="2272" w:type="dxa"/>
          </w:tcPr>
          <w:p w14:paraId="7910E09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DB/依赖就绪</w:t>
            </w:r>
          </w:p>
        </w:tc>
        <w:tc>
          <w:tcPr>
            <w:tcW w:w="2717" w:type="dxa"/>
          </w:tcPr>
          <w:p w14:paraId="328426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readiness</w:t>
            </w:r>
          </w:p>
        </w:tc>
        <w:tc>
          <w:tcPr>
            <w:tcW w:w="3111" w:type="dxa"/>
          </w:tcPr>
          <w:p w14:paraId="7AE64FD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连续 2 次 not ready</w:t>
            </w:r>
          </w:p>
        </w:tc>
      </w:tr>
      <w:tr w14:paraId="5A0D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26D42F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2272" w:type="dxa"/>
          </w:tcPr>
          <w:p w14:paraId="16EFDB1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 P95 延迟</w:t>
            </w:r>
          </w:p>
        </w:tc>
        <w:tc>
          <w:tcPr>
            <w:tcW w:w="2717" w:type="dxa"/>
          </w:tcPr>
          <w:p w14:paraId="691370C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访问日志</w:t>
            </w:r>
          </w:p>
        </w:tc>
        <w:tc>
          <w:tcPr>
            <w:tcW w:w="3111" w:type="dxa"/>
          </w:tcPr>
          <w:p w14:paraId="2F877C7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&gt; 3s 持续 5 分钟</w:t>
            </w:r>
          </w:p>
        </w:tc>
      </w:tr>
      <w:tr w14:paraId="0E36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3BB2729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错误</w:t>
            </w:r>
          </w:p>
        </w:tc>
        <w:tc>
          <w:tcPr>
            <w:tcW w:w="2272" w:type="dxa"/>
          </w:tcPr>
          <w:p w14:paraId="4811B2A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5xx 比率</w:t>
            </w:r>
          </w:p>
        </w:tc>
        <w:tc>
          <w:tcPr>
            <w:tcW w:w="2717" w:type="dxa"/>
          </w:tcPr>
          <w:p w14:paraId="5AAE68C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访问日志</w:t>
            </w:r>
          </w:p>
        </w:tc>
        <w:tc>
          <w:tcPr>
            <w:tcW w:w="3111" w:type="dxa"/>
          </w:tcPr>
          <w:p w14:paraId="46DFEE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&gt; 2% 持续 5 分钟</w:t>
            </w:r>
          </w:p>
        </w:tc>
      </w:tr>
      <w:tr w14:paraId="3500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7A4BAB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鉴权</w:t>
            </w:r>
          </w:p>
        </w:tc>
        <w:tc>
          <w:tcPr>
            <w:tcW w:w="2272" w:type="dxa"/>
          </w:tcPr>
          <w:p w14:paraId="2BB8349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401/403 激增</w:t>
            </w:r>
          </w:p>
        </w:tc>
        <w:tc>
          <w:tcPr>
            <w:tcW w:w="2717" w:type="dxa"/>
          </w:tcPr>
          <w:p w14:paraId="36886EC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访问日志</w:t>
            </w:r>
          </w:p>
        </w:tc>
        <w:tc>
          <w:tcPr>
            <w:tcW w:w="3111" w:type="dxa"/>
          </w:tcPr>
          <w:p w14:paraId="088DA65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5 分钟超过基线 3 倍</w:t>
            </w:r>
          </w:p>
        </w:tc>
      </w:tr>
      <w:tr w14:paraId="396C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57C027A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AI</w:t>
            </w:r>
          </w:p>
        </w:tc>
        <w:tc>
          <w:tcPr>
            <w:tcW w:w="2272" w:type="dxa"/>
          </w:tcPr>
          <w:p w14:paraId="4FC6D39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降级状态</w:t>
            </w:r>
          </w:p>
        </w:tc>
        <w:tc>
          <w:tcPr>
            <w:tcW w:w="2717" w:type="dxa"/>
          </w:tcPr>
          <w:p w14:paraId="474D50C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health/llm 状态</w:t>
            </w:r>
          </w:p>
        </w:tc>
        <w:tc>
          <w:tcPr>
            <w:tcW w:w="3111" w:type="dxa"/>
          </w:tcPr>
          <w:p w14:paraId="513465D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degraded &gt; 10 分钟</w:t>
            </w:r>
          </w:p>
        </w:tc>
      </w:tr>
      <w:tr w14:paraId="5C04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060972E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AI</w:t>
            </w:r>
          </w:p>
        </w:tc>
        <w:tc>
          <w:tcPr>
            <w:tcW w:w="2272" w:type="dxa"/>
          </w:tcPr>
          <w:p w14:paraId="3CB7C9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生成/答疑失败率</w:t>
            </w:r>
          </w:p>
        </w:tc>
        <w:tc>
          <w:tcPr>
            <w:tcW w:w="2717" w:type="dxa"/>
          </w:tcPr>
          <w:p w14:paraId="08CA7E3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业务日志</w:t>
            </w:r>
          </w:p>
        </w:tc>
        <w:tc>
          <w:tcPr>
            <w:tcW w:w="3111" w:type="dxa"/>
          </w:tcPr>
          <w:p w14:paraId="4A8E615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&gt; 5% 持续 10 分钟</w:t>
            </w:r>
          </w:p>
        </w:tc>
      </w:tr>
      <w:tr w14:paraId="25E4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10493F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AI</w:t>
            </w:r>
          </w:p>
        </w:tc>
        <w:tc>
          <w:tcPr>
            <w:tcW w:w="2272" w:type="dxa"/>
          </w:tcPr>
          <w:p w14:paraId="25480F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流式首包延迟</w:t>
            </w:r>
          </w:p>
        </w:tc>
        <w:tc>
          <w:tcPr>
            <w:tcW w:w="2717" w:type="dxa"/>
          </w:tcPr>
          <w:p w14:paraId="38566B5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前端/网关埋点</w:t>
            </w:r>
          </w:p>
        </w:tc>
        <w:tc>
          <w:tcPr>
            <w:tcW w:w="3111" w:type="dxa"/>
          </w:tcPr>
          <w:p w14:paraId="090E2F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P95 &gt; 5s</w:t>
            </w:r>
          </w:p>
        </w:tc>
      </w:tr>
      <w:tr w14:paraId="3F5B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0B41326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</w:t>
            </w:r>
          </w:p>
        </w:tc>
        <w:tc>
          <w:tcPr>
            <w:tcW w:w="2272" w:type="dxa"/>
          </w:tcPr>
          <w:p w14:paraId="17DB1CC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向量化失败次数</w:t>
            </w:r>
          </w:p>
        </w:tc>
        <w:tc>
          <w:tcPr>
            <w:tcW w:w="2717" w:type="dxa"/>
          </w:tcPr>
          <w:p w14:paraId="6B41496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kb 状态/日志</w:t>
            </w:r>
          </w:p>
        </w:tc>
        <w:tc>
          <w:tcPr>
            <w:tcW w:w="3111" w:type="dxa"/>
          </w:tcPr>
          <w:p w14:paraId="544ADC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连续失败 ≥ 3</w:t>
            </w:r>
          </w:p>
        </w:tc>
      </w:tr>
      <w:tr w14:paraId="549A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2F6A0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治理</w:t>
            </w:r>
          </w:p>
        </w:tc>
        <w:tc>
          <w:tcPr>
            <w:tcW w:w="2272" w:type="dxa"/>
          </w:tcPr>
          <w:p w14:paraId="49231AC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待审核资源积压</w:t>
            </w:r>
          </w:p>
        </w:tc>
        <w:tc>
          <w:tcPr>
            <w:tcW w:w="2717" w:type="dxa"/>
          </w:tcPr>
          <w:p w14:paraId="7F3B6E8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admin 队列</w:t>
            </w:r>
          </w:p>
        </w:tc>
        <w:tc>
          <w:tcPr>
            <w:tcW w:w="3111" w:type="dxa"/>
          </w:tcPr>
          <w:p w14:paraId="47F266A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&gt; 50 且超过 24h</w:t>
            </w:r>
          </w:p>
        </w:tc>
      </w:tr>
      <w:tr w14:paraId="34B2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428454F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</w:t>
            </w:r>
          </w:p>
        </w:tc>
        <w:tc>
          <w:tcPr>
            <w:tcW w:w="2272" w:type="dxa"/>
          </w:tcPr>
          <w:p w14:paraId="74F7DEA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磁盘使用率(Media)</w:t>
            </w:r>
          </w:p>
        </w:tc>
        <w:tc>
          <w:tcPr>
            <w:tcW w:w="2717" w:type="dxa"/>
          </w:tcPr>
          <w:p w14:paraId="58B2BDA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主机监控</w:t>
            </w:r>
          </w:p>
        </w:tc>
        <w:tc>
          <w:tcPr>
            <w:tcW w:w="3111" w:type="dxa"/>
          </w:tcPr>
          <w:p w14:paraId="76F737E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&gt; 85%</w:t>
            </w:r>
          </w:p>
        </w:tc>
      </w:tr>
      <w:tr w14:paraId="2A16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42B26F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数据</w:t>
            </w:r>
          </w:p>
        </w:tc>
        <w:tc>
          <w:tcPr>
            <w:tcW w:w="2272" w:type="dxa"/>
          </w:tcPr>
          <w:p w14:paraId="741FF65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 连接失败</w:t>
            </w:r>
          </w:p>
        </w:tc>
        <w:tc>
          <w:tcPr>
            <w:tcW w:w="2717" w:type="dxa"/>
          </w:tcPr>
          <w:p w14:paraId="6690771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readiness/DB</w:t>
            </w:r>
          </w:p>
        </w:tc>
        <w:tc>
          <w:tcPr>
            <w:tcW w:w="3111" w:type="dxa"/>
          </w:tcPr>
          <w:p w14:paraId="7F9B25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立即告警</w:t>
            </w:r>
          </w:p>
        </w:tc>
      </w:tr>
    </w:tbl>
    <w:p w14:paraId="15971E6D">
      <w:pPr>
        <w:rPr>
          <w:color w:val="auto"/>
        </w:rPr>
      </w:pPr>
    </w:p>
    <w:p w14:paraId="4DECC602">
      <w:pPr>
        <w:pStyle w:val="4"/>
        <w:rPr>
          <w:rFonts w:hint="eastAsia" w:ascii="黑体" w:hAnsi="黑体" w:eastAsia="黑体" w:cs="黑体"/>
          <w:color w:val="auto"/>
        </w:rPr>
      </w:pPr>
      <w:bookmarkStart w:id="17" w:name="_Toc20512"/>
      <w:r>
        <w:rPr>
          <w:rFonts w:hint="eastAsia" w:ascii="黑体" w:hAnsi="黑体" w:eastAsia="黑体" w:cs="黑体"/>
          <w:color w:val="auto"/>
        </w:rPr>
        <w:t>6.3 告警级别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4359"/>
        <w:gridCol w:w="3607"/>
      </w:tblGrid>
      <w:tr w14:paraId="4B09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1EFCE2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级别</w:t>
            </w:r>
          </w:p>
        </w:tc>
        <w:tc>
          <w:tcPr>
            <w:tcW w:w="4359" w:type="dxa"/>
          </w:tcPr>
          <w:p w14:paraId="5EC33C9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示例</w:t>
            </w:r>
          </w:p>
        </w:tc>
        <w:tc>
          <w:tcPr>
            <w:tcW w:w="3607" w:type="dxa"/>
          </w:tcPr>
          <w:p w14:paraId="130E64E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响应</w:t>
            </w:r>
          </w:p>
        </w:tc>
      </w:tr>
      <w:tr w14:paraId="58C97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6A42737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P0 紧急</w:t>
            </w:r>
          </w:p>
        </w:tc>
        <w:tc>
          <w:tcPr>
            <w:tcW w:w="4359" w:type="dxa"/>
          </w:tcPr>
          <w:p w14:paraId="040849B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服务不可用、数据库宕机、大面积 5xx</w:t>
            </w:r>
          </w:p>
        </w:tc>
        <w:tc>
          <w:tcPr>
            <w:tcW w:w="3607" w:type="dxa"/>
          </w:tcPr>
          <w:p w14:paraId="4A0143E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立即处理，暂停演示/切换备用</w:t>
            </w:r>
          </w:p>
        </w:tc>
      </w:tr>
      <w:tr w14:paraId="3BCC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2B62111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P1 严重</w:t>
            </w:r>
          </w:p>
        </w:tc>
        <w:tc>
          <w:tcPr>
            <w:tcW w:w="4359" w:type="dxa"/>
          </w:tcPr>
          <w:p w14:paraId="53ECB48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长时间降级、向量化批量失败、鉴权异常激增</w:t>
            </w:r>
          </w:p>
        </w:tc>
        <w:tc>
          <w:tcPr>
            <w:tcW w:w="3607" w:type="dxa"/>
          </w:tcPr>
          <w:p w14:paraId="2CAEDC9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30 分钟内响应</w:t>
            </w:r>
          </w:p>
        </w:tc>
      </w:tr>
      <w:tr w14:paraId="05A3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379BBA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P2 一般</w:t>
            </w:r>
          </w:p>
        </w:tc>
        <w:tc>
          <w:tcPr>
            <w:tcW w:w="4359" w:type="dxa"/>
          </w:tcPr>
          <w:p w14:paraId="4EB15B5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局部时延升高、个别生成失败</w:t>
            </w:r>
          </w:p>
        </w:tc>
        <w:tc>
          <w:tcPr>
            <w:tcW w:w="3607" w:type="dxa"/>
          </w:tcPr>
          <w:p w14:paraId="16429D0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值班跟进</w:t>
            </w:r>
          </w:p>
        </w:tc>
      </w:tr>
      <w:tr w14:paraId="3378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573448F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P3 提示</w:t>
            </w:r>
          </w:p>
        </w:tc>
        <w:tc>
          <w:tcPr>
            <w:tcW w:w="4359" w:type="dxa"/>
          </w:tcPr>
          <w:p w14:paraId="7DD1F75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积压增多、磁盘将满预警</w:t>
            </w:r>
          </w:p>
        </w:tc>
        <w:tc>
          <w:tcPr>
            <w:tcW w:w="3607" w:type="dxa"/>
          </w:tcPr>
          <w:p w14:paraId="1DB6F4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计划处理</w:t>
            </w:r>
          </w:p>
        </w:tc>
      </w:tr>
    </w:tbl>
    <w:p w14:paraId="01135DEB">
      <w:pPr>
        <w:rPr>
          <w:color w:val="auto"/>
        </w:rPr>
      </w:pPr>
    </w:p>
    <w:p w14:paraId="7B8D7CF7">
      <w:pPr>
        <w:pStyle w:val="4"/>
        <w:rPr>
          <w:rFonts w:hint="eastAsia" w:ascii="黑体" w:hAnsi="黑体" w:eastAsia="黑体" w:cs="黑体"/>
          <w:color w:val="auto"/>
        </w:rPr>
      </w:pPr>
      <w:bookmarkStart w:id="18" w:name="_Toc9120"/>
      <w:r>
        <w:rPr>
          <w:rFonts w:hint="eastAsia" w:ascii="黑体" w:hAnsi="黑体" w:eastAsia="黑体" w:cs="黑体"/>
          <w:color w:val="auto"/>
        </w:rPr>
        <w:t>6.4 观察面板建议</w:t>
      </w:r>
      <w:bookmarkEnd w:id="18"/>
    </w:p>
    <w:p w14:paraId="6B5B368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服务面板：health/readiness、QPS、P95、5xx。</w:t>
      </w:r>
    </w:p>
    <w:p w14:paraId="7E2E3F0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AI 面板：任务成功率、降级标记、首包时延、平均完成时延。</w:t>
      </w:r>
    </w:p>
    <w:p w14:paraId="5B39F5EF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内容面板：知识库文档数、向量化成功率、待审资源数。</w:t>
      </w:r>
    </w:p>
    <w:p w14:paraId="76CDCDB9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安全面板：鉴权失败、护栏触发次数、管理操作审计。</w:t>
      </w:r>
    </w:p>
    <w:p w14:paraId="3CFEC9B2">
      <w:pPr>
        <w:pStyle w:val="3"/>
        <w:rPr>
          <w:rFonts w:hint="eastAsia" w:ascii="黑体" w:hAnsi="黑体" w:eastAsia="黑体" w:cs="黑体"/>
          <w:color w:val="auto"/>
        </w:rPr>
      </w:pPr>
      <w:bookmarkStart w:id="19" w:name="_Toc6583"/>
      <w:r>
        <w:rPr>
          <w:rFonts w:hint="eastAsia" w:ascii="黑体" w:hAnsi="黑体" w:eastAsia="黑体" w:cs="黑体"/>
          <w:color w:val="auto"/>
        </w:rPr>
        <w:t>7 日常运维</w:t>
      </w:r>
      <w:bookmarkEnd w:id="19"/>
    </w:p>
    <w:p w14:paraId="1B91DF92">
      <w:pPr>
        <w:pStyle w:val="4"/>
        <w:rPr>
          <w:rFonts w:hint="eastAsia" w:ascii="黑体" w:hAnsi="黑体" w:eastAsia="黑体" w:cs="黑体"/>
          <w:color w:val="auto"/>
        </w:rPr>
      </w:pPr>
      <w:bookmarkStart w:id="20" w:name="_Toc2458"/>
      <w:r>
        <w:rPr>
          <w:rFonts w:hint="eastAsia" w:ascii="黑体" w:hAnsi="黑体" w:eastAsia="黑体" w:cs="黑体"/>
          <w:color w:val="auto"/>
        </w:rPr>
        <w:t>7.1 日常检查</w:t>
      </w:r>
      <w:bookmarkEnd w:id="20"/>
    </w:p>
    <w:p w14:paraId="03329DE1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检查服务进程/容器状态。</w:t>
      </w:r>
    </w:p>
    <w:p w14:paraId="24B2A433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调用 health 与 readiness。</w:t>
      </w:r>
    </w:p>
    <w:p w14:paraId="216294C6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查看错误日志与 system logs。</w:t>
      </w:r>
    </w:p>
    <w:p w14:paraId="5B7D04E6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检查磁盘 Media 与数据库空间。</w:t>
      </w:r>
    </w:p>
    <w:p w14:paraId="57093E95">
      <w:pPr>
        <w:pStyle w:val="14"/>
        <w:numPr>
          <w:ilvl w:val="0"/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抽查一次学生主流程与一次答疑。</w:t>
      </w:r>
    </w:p>
    <w:p w14:paraId="1AC736C0">
      <w:pPr>
        <w:pStyle w:val="4"/>
        <w:rPr>
          <w:rFonts w:hint="eastAsia" w:ascii="黑体" w:hAnsi="黑体" w:eastAsia="黑体" w:cs="黑体"/>
          <w:color w:val="auto"/>
        </w:rPr>
      </w:pPr>
      <w:bookmarkStart w:id="21" w:name="_Toc6060"/>
      <w:r>
        <w:rPr>
          <w:rFonts w:hint="eastAsia" w:ascii="黑体" w:hAnsi="黑体" w:eastAsia="黑体" w:cs="黑体"/>
          <w:color w:val="auto"/>
        </w:rPr>
        <w:t>7.2 变更发布</w:t>
      </w:r>
      <w:bookmarkEnd w:id="21"/>
    </w:p>
    <w:p w14:paraId="154012A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发布前备份数据库与关键配置。</w:t>
      </w:r>
    </w:p>
    <w:p w14:paraId="2A6F3DE3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先验证迁移/启动，再切换流量。</w:t>
      </w:r>
    </w:p>
    <w:p w14:paraId="02CB375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发布后执行最小验收清单。</w:t>
      </w:r>
    </w:p>
    <w:p w14:paraId="148B76B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保留回滚版本与上一次稳定配置。</w:t>
      </w:r>
    </w:p>
    <w:p w14:paraId="0511F634">
      <w:pPr>
        <w:pStyle w:val="4"/>
        <w:rPr>
          <w:rFonts w:hint="eastAsia" w:ascii="黑体" w:hAnsi="黑体" w:eastAsia="黑体" w:cs="黑体"/>
          <w:color w:val="auto"/>
        </w:rPr>
      </w:pPr>
      <w:bookmarkStart w:id="22" w:name="_Toc6071"/>
      <w:r>
        <w:rPr>
          <w:rFonts w:hint="eastAsia" w:ascii="黑体" w:hAnsi="黑体" w:eastAsia="黑体" w:cs="黑体"/>
          <w:color w:val="auto"/>
        </w:rPr>
        <w:t>7.3 数据与知识库运维</w:t>
      </w:r>
      <w:bookmarkEnd w:id="22"/>
    </w:p>
    <w:p w14:paraId="1E5BB8C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课程文档更新后重新向量化并抽检答疑。</w:t>
      </w:r>
    </w:p>
    <w:p w14:paraId="7F57536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定期清理无效媒体与失败中间产物。</w:t>
      </w:r>
    </w:p>
    <w:p w14:paraId="6A6FA7C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对生成资源保持抽检与审核，避免错误内容累积。</w:t>
      </w:r>
    </w:p>
    <w:p w14:paraId="026F2E5C">
      <w:pPr>
        <w:pStyle w:val="3"/>
        <w:rPr>
          <w:rFonts w:hint="eastAsia" w:ascii="黑体" w:hAnsi="黑体" w:eastAsia="黑体" w:cs="黑体"/>
          <w:color w:val="auto"/>
        </w:rPr>
      </w:pPr>
      <w:bookmarkStart w:id="23" w:name="_Toc3714"/>
      <w:r>
        <w:rPr>
          <w:rFonts w:hint="eastAsia" w:ascii="黑体" w:hAnsi="黑体" w:eastAsia="黑体" w:cs="黑体"/>
          <w:color w:val="auto"/>
        </w:rPr>
        <w:t>8 备份恢复与应急</w:t>
      </w:r>
      <w:bookmarkEnd w:id="23"/>
    </w:p>
    <w:p w14:paraId="725501DC">
      <w:pPr>
        <w:pStyle w:val="4"/>
        <w:rPr>
          <w:rFonts w:hint="eastAsia" w:ascii="黑体" w:hAnsi="黑体" w:eastAsia="黑体" w:cs="黑体"/>
          <w:color w:val="auto"/>
        </w:rPr>
      </w:pPr>
      <w:bookmarkStart w:id="24" w:name="_Toc9294"/>
      <w:r>
        <w:rPr>
          <w:rFonts w:hint="eastAsia" w:ascii="黑体" w:hAnsi="黑体" w:eastAsia="黑体" w:cs="黑体"/>
          <w:color w:val="auto"/>
        </w:rPr>
        <w:t>8.1 备份对象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418"/>
        <w:gridCol w:w="4141"/>
      </w:tblGrid>
      <w:tr w14:paraId="45A03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3" w:type="dxa"/>
          </w:tcPr>
          <w:p w14:paraId="17582BE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对象</w:t>
            </w:r>
          </w:p>
        </w:tc>
        <w:tc>
          <w:tcPr>
            <w:tcW w:w="2418" w:type="dxa"/>
          </w:tcPr>
          <w:p w14:paraId="50B4A2A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频率建议</w:t>
            </w:r>
          </w:p>
        </w:tc>
        <w:tc>
          <w:tcPr>
            <w:tcW w:w="4141" w:type="dxa"/>
          </w:tcPr>
          <w:p w14:paraId="5E182F6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53A7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3" w:type="dxa"/>
          </w:tcPr>
          <w:p w14:paraId="1A90B9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</w:t>
            </w:r>
          </w:p>
        </w:tc>
        <w:tc>
          <w:tcPr>
            <w:tcW w:w="2418" w:type="dxa"/>
          </w:tcPr>
          <w:p w14:paraId="1FBF89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每日/演示前</w:t>
            </w:r>
          </w:p>
        </w:tc>
        <w:tc>
          <w:tcPr>
            <w:tcW w:w="4141" w:type="dxa"/>
          </w:tcPr>
          <w:p w14:paraId="3738F78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用户、画像、计划、报告等</w:t>
            </w:r>
          </w:p>
        </w:tc>
      </w:tr>
      <w:tr w14:paraId="4EDD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3" w:type="dxa"/>
          </w:tcPr>
          <w:p w14:paraId="01A486E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知识库文件+向量目录</w:t>
            </w:r>
          </w:p>
        </w:tc>
        <w:tc>
          <w:tcPr>
            <w:tcW w:w="2418" w:type="dxa"/>
          </w:tcPr>
          <w:p w14:paraId="1531060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变更后立即</w:t>
            </w:r>
          </w:p>
        </w:tc>
        <w:tc>
          <w:tcPr>
            <w:tcW w:w="4141" w:type="dxa"/>
          </w:tcPr>
          <w:p w14:paraId="145430C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保证 RAG 可恢复</w:t>
            </w:r>
          </w:p>
        </w:tc>
      </w:tr>
      <w:tr w14:paraId="3ECD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3" w:type="dxa"/>
          </w:tcPr>
          <w:p w14:paraId="06F3114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Media</w:t>
            </w:r>
          </w:p>
        </w:tc>
        <w:tc>
          <w:tcPr>
            <w:tcW w:w="2418" w:type="dxa"/>
          </w:tcPr>
          <w:p w14:paraId="7B16688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每日/增量</w:t>
            </w:r>
          </w:p>
        </w:tc>
        <w:tc>
          <w:tcPr>
            <w:tcW w:w="4141" w:type="dxa"/>
          </w:tcPr>
          <w:p w14:paraId="4C4F8E1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课件与生成资产</w:t>
            </w:r>
          </w:p>
        </w:tc>
      </w:tr>
      <w:tr w14:paraId="16FE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3" w:type="dxa"/>
          </w:tcPr>
          <w:p w14:paraId="5A601A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配置与密钥</w:t>
            </w:r>
          </w:p>
        </w:tc>
        <w:tc>
          <w:tcPr>
            <w:tcW w:w="2418" w:type="dxa"/>
          </w:tcPr>
          <w:p w14:paraId="3916DD0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变更时</w:t>
            </w:r>
          </w:p>
        </w:tc>
        <w:tc>
          <w:tcPr>
            <w:tcW w:w="4141" w:type="dxa"/>
          </w:tcPr>
          <w:p w14:paraId="5C40FF6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安全保存，不入库明文</w:t>
            </w:r>
          </w:p>
        </w:tc>
      </w:tr>
    </w:tbl>
    <w:p w14:paraId="3D243743">
      <w:pPr>
        <w:rPr>
          <w:color w:val="auto"/>
        </w:rPr>
      </w:pPr>
    </w:p>
    <w:p w14:paraId="5FEE5424">
      <w:pPr>
        <w:pStyle w:val="4"/>
        <w:rPr>
          <w:rFonts w:hint="eastAsia" w:ascii="黑体" w:hAnsi="黑体" w:eastAsia="黑体" w:cs="黑体"/>
          <w:color w:val="auto"/>
        </w:rPr>
      </w:pPr>
      <w:bookmarkStart w:id="25" w:name="_Toc6030"/>
      <w:r>
        <w:rPr>
          <w:rFonts w:hint="eastAsia" w:ascii="黑体" w:hAnsi="黑体" w:eastAsia="黑体" w:cs="黑体"/>
          <w:color w:val="auto"/>
        </w:rPr>
        <w:t>8.2 常见应急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47C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A87CC4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故障</w:t>
            </w:r>
          </w:p>
        </w:tc>
        <w:tc>
          <w:tcPr>
            <w:tcW w:w="3024" w:type="dxa"/>
          </w:tcPr>
          <w:p w14:paraId="6FC40C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现象</w:t>
            </w:r>
          </w:p>
        </w:tc>
        <w:tc>
          <w:tcPr>
            <w:tcW w:w="3024" w:type="dxa"/>
          </w:tcPr>
          <w:p w14:paraId="46F60F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处理</w:t>
            </w:r>
          </w:p>
        </w:tc>
      </w:tr>
      <w:tr w14:paraId="17C0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F449FA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 不可用</w:t>
            </w:r>
          </w:p>
        </w:tc>
        <w:tc>
          <w:tcPr>
            <w:tcW w:w="3024" w:type="dxa"/>
          </w:tcPr>
          <w:p w14:paraId="22A0953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前端全部失败</w:t>
            </w:r>
          </w:p>
        </w:tc>
        <w:tc>
          <w:tcPr>
            <w:tcW w:w="3024" w:type="dxa"/>
          </w:tcPr>
          <w:p w14:paraId="073BAAC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查进程/端口/反代/日志并重启</w:t>
            </w:r>
          </w:p>
        </w:tc>
      </w:tr>
      <w:tr w14:paraId="7AF3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F55CC8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数据库异常</w:t>
            </w:r>
          </w:p>
        </w:tc>
        <w:tc>
          <w:tcPr>
            <w:tcW w:w="3024" w:type="dxa"/>
          </w:tcPr>
          <w:p w14:paraId="745D65F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readiness 失败</w:t>
            </w:r>
          </w:p>
        </w:tc>
        <w:tc>
          <w:tcPr>
            <w:tcW w:w="3024" w:type="dxa"/>
          </w:tcPr>
          <w:p w14:paraId="347C2FA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检查连接串、权限、磁盘、连接数</w:t>
            </w:r>
          </w:p>
        </w:tc>
      </w:tr>
      <w:tr w14:paraId="7D19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C5C07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不可用</w:t>
            </w:r>
          </w:p>
        </w:tc>
        <w:tc>
          <w:tcPr>
            <w:tcW w:w="3024" w:type="dxa"/>
          </w:tcPr>
          <w:p w14:paraId="57A3FB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生成/答疑失败或超时</w:t>
            </w:r>
          </w:p>
        </w:tc>
        <w:tc>
          <w:tcPr>
            <w:tcW w:w="3024" w:type="dxa"/>
          </w:tcPr>
          <w:p w14:paraId="3332222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切换备用模型或启用 Mock，公告降级</w:t>
            </w:r>
          </w:p>
        </w:tc>
      </w:tr>
      <w:tr w14:paraId="33AC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A11177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向量化失败</w:t>
            </w:r>
          </w:p>
        </w:tc>
        <w:tc>
          <w:tcPr>
            <w:tcW w:w="3024" w:type="dxa"/>
          </w:tcPr>
          <w:p w14:paraId="7993370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答疑无命中</w:t>
            </w:r>
          </w:p>
        </w:tc>
        <w:tc>
          <w:tcPr>
            <w:tcW w:w="3024" w:type="dxa"/>
          </w:tcPr>
          <w:p w14:paraId="48A26A6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检查文档格式、依赖、磁盘，重跑向量化</w:t>
            </w:r>
          </w:p>
        </w:tc>
      </w:tr>
      <w:tr w14:paraId="28062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4A93AA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磁盘满</w:t>
            </w:r>
          </w:p>
        </w:tc>
        <w:tc>
          <w:tcPr>
            <w:tcW w:w="3024" w:type="dxa"/>
          </w:tcPr>
          <w:p w14:paraId="7F6619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媒体上传/生成失败</w:t>
            </w:r>
          </w:p>
        </w:tc>
        <w:tc>
          <w:tcPr>
            <w:tcW w:w="3024" w:type="dxa"/>
          </w:tcPr>
          <w:p w14:paraId="6992A22C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清理缓存与旧媒体，扩容</w:t>
            </w:r>
          </w:p>
        </w:tc>
      </w:tr>
      <w:tr w14:paraId="3C77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CD0F2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疑似越权</w:t>
            </w:r>
          </w:p>
        </w:tc>
        <w:tc>
          <w:tcPr>
            <w:tcW w:w="3024" w:type="dxa"/>
          </w:tcPr>
          <w:p w14:paraId="317063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权限告警增多</w:t>
            </w:r>
          </w:p>
        </w:tc>
        <w:tc>
          <w:tcPr>
            <w:tcW w:w="3024" w:type="dxa"/>
          </w:tcPr>
          <w:p w14:paraId="63E7672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强制失效 token、检查守卫与路由</w:t>
            </w:r>
          </w:p>
        </w:tc>
      </w:tr>
    </w:tbl>
    <w:p w14:paraId="27CBF5BF">
      <w:pPr>
        <w:rPr>
          <w:color w:val="auto"/>
        </w:rPr>
      </w:pPr>
    </w:p>
    <w:p w14:paraId="302C9F18">
      <w:pPr>
        <w:pStyle w:val="3"/>
        <w:rPr>
          <w:rFonts w:hint="eastAsia" w:ascii="黑体" w:hAnsi="黑体" w:eastAsia="黑体" w:cs="黑体"/>
          <w:color w:val="auto"/>
        </w:rPr>
      </w:pPr>
      <w:bookmarkStart w:id="26" w:name="_Toc30294"/>
      <w:r>
        <w:rPr>
          <w:rFonts w:hint="eastAsia" w:ascii="黑体" w:hAnsi="黑体" w:eastAsia="黑体" w:cs="黑体"/>
          <w:color w:val="auto"/>
        </w:rPr>
        <w:t>9 安全运维</w:t>
      </w:r>
      <w:bookmarkEnd w:id="26"/>
    </w:p>
    <w:p w14:paraId="1B3A73FF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密钥与数据库密码仅保存在环境变量或密钥管理中。</w:t>
      </w:r>
    </w:p>
    <w:p w14:paraId="7CDBBF2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生产关闭 Debug，收敛错误堆栈外泄。</w:t>
      </w:r>
    </w:p>
    <w:p w14:paraId="5F57984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CORS 与网关仅开放必要来源与路径。</w:t>
      </w:r>
    </w:p>
    <w:p w14:paraId="27157A4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定期检查管理员账号与审核操作日志。</w:t>
      </w:r>
    </w:p>
    <w:p w14:paraId="108BA7B3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对上传文档做类型与大小限制，防止恶意文件。</w:t>
      </w:r>
    </w:p>
    <w:p w14:paraId="780FC27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关注内容护栏触发情况，必要时补充规则。</w:t>
      </w:r>
    </w:p>
    <w:p w14:paraId="03011280">
      <w:pPr>
        <w:pStyle w:val="3"/>
        <w:rPr>
          <w:rFonts w:hint="eastAsia" w:ascii="黑体" w:hAnsi="黑体" w:eastAsia="黑体" w:cs="黑体"/>
          <w:color w:val="auto"/>
        </w:rPr>
      </w:pPr>
      <w:bookmarkStart w:id="27" w:name="_Toc27927"/>
      <w:r>
        <w:rPr>
          <w:rFonts w:hint="eastAsia" w:ascii="黑体" w:hAnsi="黑体" w:eastAsia="黑体" w:cs="黑体"/>
          <w:color w:val="auto"/>
        </w:rPr>
        <w:t>10 验收与交付检查</w:t>
      </w:r>
      <w:bookmarkEnd w:id="27"/>
    </w:p>
    <w:p w14:paraId="2AF9807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2968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9374" b="68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F84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图10-1 交付对象总览（架构视角）</w:t>
      </w:r>
    </w:p>
    <w:p w14:paraId="38FE141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部署拓扑与端口文档化</w:t>
      </w:r>
    </w:p>
    <w:p w14:paraId="5D98B22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环境依赖安装完成</w:t>
      </w:r>
    </w:p>
    <w:p w14:paraId="546089E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前后端成功启动</w:t>
      </w:r>
    </w:p>
    <w:p w14:paraId="16C04589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健康/就绪检查通过</w:t>
      </w:r>
    </w:p>
    <w:p w14:paraId="47622BF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主学习闭环可演示</w:t>
      </w:r>
    </w:p>
    <w:p w14:paraId="62695AF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知识库与答疑可用</w:t>
      </w:r>
    </w:p>
    <w:p w14:paraId="1291DF98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监控指标与告警阈值已定义</w:t>
      </w:r>
    </w:p>
    <w:p w14:paraId="78DF605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备份恢复路径明确</w:t>
      </w:r>
    </w:p>
    <w:p w14:paraId="30A5DC4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□ 应急手册可执行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07076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2E180B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2E180B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4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5CD"/>
    <w:rsid w:val="00AA1D8D"/>
    <w:rsid w:val="00B47730"/>
    <w:rsid w:val="00CB0664"/>
    <w:rsid w:val="00FC693F"/>
    <w:rsid w:val="105453B4"/>
    <w:rsid w:val="12C56763"/>
    <w:rsid w:val="14356CBF"/>
    <w:rsid w:val="474433F3"/>
    <w:rsid w:val="48A4239B"/>
    <w:rsid w:val="4DD52FF7"/>
    <w:rsid w:val="576553EC"/>
    <w:rsid w:val="58833C9A"/>
    <w:rsid w:val="5A791130"/>
    <w:rsid w:val="7A0D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F172A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F172A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692</Words>
  <Characters>1036</Characters>
  <Lines>0</Lines>
  <Paragraphs>0</Paragraphs>
  <TotalTime>0</TotalTime>
  <ScaleCrop>false</ScaleCrop>
  <LinksUpToDate>false</LinksUpToDate>
  <CharactersWithSpaces>1202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侯宗阳</cp:lastModifiedBy>
  <dcterms:modified xsi:type="dcterms:W3CDTF">2026-07-14T05:08:34Z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9C704EFFDD1748F99DFA7C4329DD708B_12</vt:lpwstr>
  </property>
</Properties>
</file>