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ook w:firstColumn="1" w:firstRow="1" w:lastColumn="0" w:lastRow="0" w:noHBand="0" w:noVBand="1" w:val="04A0"/>
        <w:tblLayout w:type="fixed"/>
        <w:tblInd w:w="0" w:type="dxa"/>
        <w:tblBorders>
          <w:top w:val="nil" w:sz="4" w:color="D9DEE6"/>
          <w:left w:val="nil" w:sz="4" w:color="D9DEE6"/>
          <w:bottom w:val="nil" w:sz="4" w:color="D9DEE6"/>
          <w:right w:val="nil" w:sz="4" w:color="D9DEE6"/>
          <w:insideH w:val="nil" w:sz="4" w:color="D9DEE6"/>
          <w:insideV w:val="nil" w:sz="4" w:color="D9DEE6"/>
        </w:tblBorders>
      </w:tblPr>
      <w:tblGrid>
        <w:gridCol w:w="6200"/>
        <w:gridCol w:w="3160"/>
      </w:tblGrid>
      <w:tr>
        <w:tc>
          <w:tcPr>
            <w:tcW w:type="dxa" w:w="6200"/>
            <w:vAlign w:val="center"/>
            <w:tcMar>
              <w:top w:w="80" w:type="dxa"/>
              <w:start w:w="120" w:type="dxa"/>
              <w:bottom w:w="80" w:type="dxa"/>
              <w:end w:w="120" w:type="dxa"/>
            </w:tcMar>
          </w:tcPr>
          <w:p>
            <w:r>
              <w:drawing>
                <wp:inline xmlns:a="http://schemas.openxmlformats.org/drawingml/2006/main" xmlns:pic="http://schemas.openxmlformats.org/drawingml/2006/picture">
                  <wp:extent cx="2514600" cy="588523"/>
                  <wp:docPr id="1" name="Picture 1"/>
                  <wp:cNvGraphicFramePr>
                    <a:graphicFrameLocks noChangeAspect="1"/>
                  </wp:cNvGraphicFramePr>
                  <a:graphic>
                    <a:graphicData uri="http://schemas.openxmlformats.org/drawingml/2006/picture">
                      <pic:pic>
                        <pic:nvPicPr>
                          <pic:cNvPr id="0" name="mranti-30-logo.png"/>
                          <pic:cNvPicPr/>
                        </pic:nvPicPr>
                        <pic:blipFill>
                          <a:blip r:embed="rId11"/>
                          <a:stretch>
                            <a:fillRect/>
                          </a:stretch>
                        </pic:blipFill>
                        <pic:spPr>
                          <a:xfrm>
                            <a:off x="0" y="0"/>
                            <a:ext cx="2514600" cy="588523"/>
                          </a:xfrm>
                          <a:prstGeom prst="rect"/>
                        </pic:spPr>
                      </pic:pic>
                    </a:graphicData>
                  </a:graphic>
                </wp:inline>
              </w:drawing>
            </w:r>
          </w:p>
        </w:tc>
        <w:tc>
          <w:tcPr>
            <w:tcW w:type="dxa" w:w="3160"/>
            <w:vAlign w:val="center"/>
            <w:tcMar>
              <w:top w:w="80" w:type="dxa"/>
              <w:start w:w="120" w:type="dxa"/>
              <w:bottom w:w="80" w:type="dxa"/>
              <w:end w:w="120" w:type="dxa"/>
            </w:tcMar>
          </w:tcPr>
          <w:p>
            <w:pPr>
              <w:jc w:val="right"/>
            </w:pPr>
            <w:r>
              <w:drawing>
                <wp:inline xmlns:a="http://schemas.openxmlformats.org/drawingml/2006/main" xmlns:pic="http://schemas.openxmlformats.org/drawingml/2006/picture">
                  <wp:extent cx="1051560" cy="1051560"/>
                  <wp:docPr id="2" name="Picture 2"/>
                  <wp:cNvGraphicFramePr>
                    <a:graphicFrameLocks noChangeAspect="1"/>
                  </wp:cNvGraphicFramePr>
                  <a:graphic>
                    <a:graphicData uri="http://schemas.openxmlformats.org/drawingml/2006/picture">
                      <pic:pic>
                        <pic:nvPicPr>
                          <pic:cNvPr id="0" name="supabase-kl-logo.png"/>
                          <pic:cNvPicPr/>
                        </pic:nvPicPr>
                        <pic:blipFill>
                          <a:blip r:embed="rId12"/>
                          <a:stretch>
                            <a:fillRect/>
                          </a:stretch>
                        </pic:blipFill>
                        <pic:spPr>
                          <a:xfrm>
                            <a:off x="0" y="0"/>
                            <a:ext cx="1051560" cy="1051560"/>
                          </a:xfrm>
                          <a:prstGeom prst="rect"/>
                        </pic:spPr>
                      </pic:pic>
                    </a:graphicData>
                  </a:graphic>
                </wp:inline>
              </w:drawing>
            </w:r>
          </w:p>
        </w:tc>
      </w:tr>
    </w:tbl>
    <w:p>
      <w:pPr>
        <w:spacing w:before="600" w:after="60"/>
      </w:pPr>
      <w:r>
        <w:rPr>
          <w:rFonts w:ascii="Calibri" w:hAnsi="Calibri"/>
          <w:b/>
          <w:color w:val="149D6E"/>
          <w:sz w:val="20"/>
        </w:rPr>
        <w:t>WORKSHOP PRESENTER GUIDE</w:t>
      </w:r>
    </w:p>
    <w:p>
      <w:pPr>
        <w:spacing w:after="160"/>
      </w:pPr>
      <w:r>
        <w:rPr>
          <w:rFonts w:ascii="Calibri" w:hAnsi="Calibri"/>
          <w:b/>
          <w:color w:val="0B2545"/>
          <w:sz w:val="58"/>
        </w:rPr>
        <w:t>Supabase for MVPs</w:t>
      </w:r>
    </w:p>
    <w:p>
      <w:pPr>
        <w:spacing w:after="400"/>
      </w:pPr>
      <w:r>
        <w:rPr>
          <w:rFonts w:ascii="Calibri" w:hAnsi="Calibri"/>
          <w:color w:val="5E6673"/>
          <w:sz w:val="26"/>
        </w:rPr>
        <w:t>A 60-minute interactive walkthrough of the backend features developers use most</w:t>
      </w:r>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2340"/>
        <w:gridCol w:w="2340"/>
        <w:gridCol w:w="2340"/>
        <w:gridCol w:w="2340"/>
      </w:tblGrid>
      <w:tr>
        <w:tc>
          <w:tcPr>
            <w:tcW w:type="dxa" w:w="2340"/>
            <w:vAlign w:val="center"/>
            <w:tcMar>
              <w:top w:w="80" w:type="dxa"/>
              <w:start w:w="120" w:type="dxa"/>
              <w:bottom w:w="80" w:type="dxa"/>
              <w:end w:w="120" w:type="dxa"/>
            </w:tcMar>
            <w:shd w:fill="EAF8F2"/>
          </w:tcPr>
          <w:p>
            <w:pPr>
              <w:jc w:val="center"/>
            </w:pPr>
            <w:r>
              <w:rPr>
                <w:rFonts w:ascii="Calibri" w:hAnsi="Calibri"/>
                <w:b/>
                <w:color w:val="149D6E"/>
                <w:sz w:val="30"/>
              </w:rPr>
              <w:t>55 min</w:t>
              <w:br/>
            </w:r>
            <w:r>
              <w:rPr>
                <w:rFonts w:ascii="Calibri" w:hAnsi="Calibri"/>
                <w:b/>
                <w:color w:val="5E6673"/>
                <w:sz w:val="15"/>
              </w:rPr>
              <w:t>GUIDED DEMO</w:t>
            </w:r>
          </w:p>
        </w:tc>
        <w:tc>
          <w:tcPr>
            <w:tcW w:type="dxa" w:w="2340"/>
            <w:vAlign w:val="center"/>
            <w:tcMar>
              <w:top w:w="80" w:type="dxa"/>
              <w:start w:w="120" w:type="dxa"/>
              <w:bottom w:w="80" w:type="dxa"/>
              <w:end w:w="120" w:type="dxa"/>
            </w:tcMar>
            <w:shd w:fill="EAF8F2"/>
          </w:tcPr>
          <w:p>
            <w:pPr>
              <w:jc w:val="center"/>
            </w:pPr>
            <w:r>
              <w:rPr>
                <w:rFonts w:ascii="Calibri" w:hAnsi="Calibri"/>
                <w:b/>
                <w:color w:val="149D6E"/>
                <w:sz w:val="30"/>
              </w:rPr>
              <w:t>5 min</w:t>
              <w:br/>
            </w:r>
            <w:r>
              <w:rPr>
                <w:rFonts w:ascii="Calibri" w:hAnsi="Calibri"/>
                <w:b/>
                <w:color w:val="5E6673"/>
                <w:sz w:val="15"/>
              </w:rPr>
              <w:t>Q&amp;A</w:t>
            </w:r>
          </w:p>
        </w:tc>
        <w:tc>
          <w:tcPr>
            <w:tcW w:type="dxa" w:w="2340"/>
            <w:vAlign w:val="center"/>
            <w:tcMar>
              <w:top w:w="80" w:type="dxa"/>
              <w:start w:w="120" w:type="dxa"/>
              <w:bottom w:w="80" w:type="dxa"/>
              <w:end w:w="120" w:type="dxa"/>
            </w:tcMar>
            <w:shd w:fill="EAF8F2"/>
          </w:tcPr>
          <w:p>
            <w:pPr>
              <w:jc w:val="center"/>
            </w:pPr>
            <w:r>
              <w:rPr>
                <w:rFonts w:ascii="Calibri" w:hAnsi="Calibri"/>
                <w:b/>
                <w:color w:val="149D6E"/>
                <w:sz w:val="30"/>
              </w:rPr>
              <w:t>13</w:t>
              <w:br/>
            </w:r>
            <w:r>
              <w:rPr>
                <w:rFonts w:ascii="Calibri" w:hAnsi="Calibri"/>
                <w:b/>
                <w:color w:val="5E6673"/>
                <w:sz w:val="15"/>
              </w:rPr>
              <w:t>INTERACTIVE SLIDES</w:t>
            </w:r>
          </w:p>
        </w:tc>
        <w:tc>
          <w:tcPr>
            <w:tcW w:type="dxa" w:w="2340"/>
            <w:vAlign w:val="center"/>
            <w:tcMar>
              <w:top w:w="80" w:type="dxa"/>
              <w:start w:w="120" w:type="dxa"/>
              <w:bottom w:w="80" w:type="dxa"/>
              <w:end w:w="120" w:type="dxa"/>
            </w:tcMar>
            <w:shd w:fill="EAF8F2"/>
          </w:tcPr>
          <w:p>
            <w:pPr>
              <w:jc w:val="center"/>
            </w:pPr>
            <w:r>
              <w:rPr>
                <w:rFonts w:ascii="Calibri" w:hAnsi="Calibri"/>
                <w:b/>
                <w:color w:val="149D6E"/>
                <w:sz w:val="30"/>
              </w:rPr>
              <w:t>1</w:t>
              <w:br/>
            </w:r>
            <w:r>
              <w:rPr>
                <w:rFonts w:ascii="Calibri" w:hAnsi="Calibri"/>
                <w:b/>
                <w:color w:val="5E6673"/>
                <w:sz w:val="15"/>
              </w:rPr>
              <w:t>LIVE MVP APP</w:t>
            </w:r>
          </w:p>
        </w:tc>
      </w:tr>
    </w:tbl>
    <w:p>
      <w:pPr>
        <w:spacing w:before="480"/>
      </w:pPr>
      <w:r>
        <w:rPr>
          <w:rFonts w:ascii="Calibri" w:hAnsi="Calibri"/>
          <w:b/>
          <w:color w:val="2E74B5"/>
          <w:sz w:val="26"/>
        </w:rPr>
        <w:t>Workshop promise</w:t>
      </w:r>
    </w:p>
    <w:p>
      <w:r>
        <w:rPr>
          <w:rFonts w:ascii="Calibri" w:hAnsi="Calibri"/>
          <w:color w:val="161A22"/>
          <w:sz w:val="23"/>
        </w:rPr>
        <w:t>Participants will leave knowing how a frontend connects to Supabase, how identity and Row Level Security work together, how data and files move through the platform, and when Cron or AI tooling is worth adding to an MVP.</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FORMAT  </w:t>
            </w:r>
            <w:r>
              <w:rPr>
                <w:rFonts w:ascii="Calibri" w:hAnsi="Calibri"/>
                <w:b/>
                <w:color w:val="161A22"/>
                <w:sz w:val="20"/>
              </w:rPr>
              <w:t>Use the site like a guided lab: run buttons, switch personas, execute SQL safely, compare CDN paths, and open the live Memory Wall.</w:t>
            </w:r>
          </w:p>
        </w:tc>
      </w:tr>
    </w:tbl>
    <w:p>
      <w:r>
        <w:br w:type="page"/>
      </w:r>
    </w:p>
    <w:p>
      <w:pPr>
        <w:pStyle w:val="Heading1"/>
      </w:pPr>
      <w:r>
        <w:rPr>
          <w:rFonts w:ascii="Calibri" w:hAnsi="Calibri"/>
          <w:b/>
          <w:color w:val="2E74B5"/>
          <w:sz w:val="32"/>
        </w:rPr>
        <w:t>60-minute run of show</w:t>
      </w:r>
    </w:p>
    <w:p>
      <w:r>
        <w:rPr>
          <w:rFonts w:ascii="Calibri" w:hAnsi="Calibri"/>
          <w:color w:val="161A22"/>
          <w:sz w:val="22"/>
        </w:rPr>
        <w:t>The timings total 55 minutes of guided content and reserve five minutes for questions. Shorten SQL recipes or AI discussion first if the room runs behind.</w:t>
      </w:r>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900"/>
        <w:gridCol w:w="6660"/>
        <w:gridCol w:w="1800"/>
      </w:tblGrid>
      <w:tr>
        <w:tc>
          <w:tcPr>
            <w:tcW w:type="dxa" w:w="900"/>
            <w:vAlign w:val="center"/>
            <w:tcMar>
              <w:top w:w="80" w:type="dxa"/>
              <w:start w:w="120" w:type="dxa"/>
              <w:bottom w:w="80" w:type="dxa"/>
              <w:end w:w="120" w:type="dxa"/>
            </w:tcMar>
            <w:shd w:fill="E8EEF5"/>
          </w:tcPr>
          <w:p>
            <w:r>
              <w:rPr>
                <w:rFonts w:ascii="Calibri" w:hAnsi="Calibri"/>
                <w:b/>
                <w:color w:val="1F4D78"/>
                <w:sz w:val="17"/>
              </w:rPr>
              <w:t>SLIDE</w:t>
            </w:r>
          </w:p>
        </w:tc>
        <w:tc>
          <w:tcPr>
            <w:tcW w:type="dxa" w:w="6660"/>
            <w:vAlign w:val="center"/>
            <w:tcMar>
              <w:top w:w="80" w:type="dxa"/>
              <w:start w:w="120" w:type="dxa"/>
              <w:bottom w:w="80" w:type="dxa"/>
              <w:end w:w="120" w:type="dxa"/>
            </w:tcMar>
            <w:shd w:fill="E8EEF5"/>
          </w:tcPr>
          <w:p>
            <w:r>
              <w:rPr>
                <w:rFonts w:ascii="Calibri" w:hAnsi="Calibri"/>
                <w:b/>
                <w:color w:val="1F4D78"/>
                <w:sz w:val="17"/>
              </w:rPr>
              <w:t>TOPIC</w:t>
            </w:r>
          </w:p>
        </w:tc>
        <w:tc>
          <w:tcPr>
            <w:tcW w:type="dxa" w:w="1800"/>
            <w:vAlign w:val="center"/>
            <w:tcMar>
              <w:top w:w="80" w:type="dxa"/>
              <w:start w:w="120" w:type="dxa"/>
              <w:bottom w:w="80" w:type="dxa"/>
              <w:end w:w="120" w:type="dxa"/>
            </w:tcMar>
            <w:shd w:fill="E8EEF5"/>
          </w:tcPr>
          <w:p>
            <w:r>
              <w:rPr>
                <w:rFonts w:ascii="Calibri" w:hAnsi="Calibri"/>
                <w:b/>
                <w:color w:val="1F4D78"/>
                <w:sz w:val="17"/>
              </w:rPr>
              <w:t>MINUTES</w:t>
            </w:r>
          </w:p>
        </w:tc>
      </w:tr>
      <w:tr>
        <w:tc>
          <w:tcPr>
            <w:tcW w:type="dxa" w:w="900"/>
            <w:vAlign w:val="center"/>
            <w:tcMar>
              <w:top w:w="80" w:type="dxa"/>
              <w:start w:w="120" w:type="dxa"/>
              <w:bottom w:w="80" w:type="dxa"/>
              <w:end w:w="120" w:type="dxa"/>
            </w:tcMar>
          </w:tcPr>
          <w:p>
            <w:r>
              <w:rPr>
                <w:rFonts w:ascii="Calibri" w:hAnsi="Calibri"/>
                <w:color w:val="161A22"/>
                <w:sz w:val="19"/>
              </w:rPr>
              <w:t>01</w:t>
            </w:r>
          </w:p>
        </w:tc>
        <w:tc>
          <w:tcPr>
            <w:tcW w:type="dxa" w:w="6660"/>
            <w:vAlign w:val="center"/>
            <w:tcMar>
              <w:top w:w="80" w:type="dxa"/>
              <w:start w:w="120" w:type="dxa"/>
              <w:bottom w:w="80" w:type="dxa"/>
              <w:end w:w="120" w:type="dxa"/>
            </w:tcMar>
          </w:tcPr>
          <w:p>
            <w:r>
              <w:rPr>
                <w:rFonts w:ascii="Calibri" w:hAnsi="Calibri"/>
                <w:color w:val="161A22"/>
                <w:sz w:val="19"/>
              </w:rPr>
              <w:t>Why Supabase</w:t>
            </w:r>
          </w:p>
        </w:tc>
        <w:tc>
          <w:tcPr>
            <w:tcW w:type="dxa" w:w="1800"/>
            <w:vAlign w:val="center"/>
            <w:tcMar>
              <w:top w:w="80" w:type="dxa"/>
              <w:start w:w="120" w:type="dxa"/>
              <w:bottom w:w="80" w:type="dxa"/>
              <w:end w:w="120" w:type="dxa"/>
            </w:tcMar>
          </w:tcPr>
          <w:p>
            <w:r>
              <w:rPr>
                <w:rFonts w:ascii="Calibri" w:hAnsi="Calibri"/>
                <w:color w:val="161A22"/>
                <w:sz w:val="19"/>
              </w:rPr>
              <w:t>3</w:t>
            </w:r>
          </w:p>
        </w:tc>
      </w:tr>
      <w:tr>
        <w:tc>
          <w:tcPr>
            <w:tcW w:type="dxa" w:w="900"/>
            <w:vAlign w:val="center"/>
            <w:tcMar>
              <w:top w:w="80" w:type="dxa"/>
              <w:start w:w="120" w:type="dxa"/>
              <w:bottom w:w="80" w:type="dxa"/>
              <w:end w:w="120" w:type="dxa"/>
            </w:tcMar>
          </w:tcPr>
          <w:p>
            <w:r>
              <w:rPr>
                <w:rFonts w:ascii="Calibri" w:hAnsi="Calibri"/>
                <w:color w:val="161A22"/>
                <w:sz w:val="19"/>
              </w:rPr>
              <w:t>02</w:t>
            </w:r>
          </w:p>
        </w:tc>
        <w:tc>
          <w:tcPr>
            <w:tcW w:type="dxa" w:w="6660"/>
            <w:vAlign w:val="center"/>
            <w:tcMar>
              <w:top w:w="80" w:type="dxa"/>
              <w:start w:w="120" w:type="dxa"/>
              <w:bottom w:w="80" w:type="dxa"/>
              <w:end w:w="120" w:type="dxa"/>
            </w:tcMar>
          </w:tcPr>
          <w:p>
            <w:r>
              <w:rPr>
                <w:rFonts w:ascii="Calibri" w:hAnsi="Calibri"/>
                <w:color w:val="161A22"/>
                <w:sz w:val="19"/>
              </w:rPr>
              <w:t>Connect</w:t>
            </w:r>
          </w:p>
        </w:tc>
        <w:tc>
          <w:tcPr>
            <w:tcW w:type="dxa" w:w="1800"/>
            <w:vAlign w:val="center"/>
            <w:tcMar>
              <w:top w:w="80" w:type="dxa"/>
              <w:start w:w="120" w:type="dxa"/>
              <w:bottom w:w="80" w:type="dxa"/>
              <w:end w:w="120" w:type="dxa"/>
            </w:tcMar>
          </w:tcPr>
          <w:p>
            <w:r>
              <w:rPr>
                <w:rFonts w:ascii="Calibri" w:hAnsi="Calibri"/>
                <w:color w:val="161A22"/>
                <w:sz w:val="19"/>
              </w:rPr>
              <w:t>4</w:t>
            </w:r>
          </w:p>
        </w:tc>
      </w:tr>
      <w:tr>
        <w:tc>
          <w:tcPr>
            <w:tcW w:type="dxa" w:w="900"/>
            <w:vAlign w:val="center"/>
            <w:tcMar>
              <w:top w:w="80" w:type="dxa"/>
              <w:start w:w="120" w:type="dxa"/>
              <w:bottom w:w="80" w:type="dxa"/>
              <w:end w:w="120" w:type="dxa"/>
            </w:tcMar>
          </w:tcPr>
          <w:p>
            <w:r>
              <w:rPr>
                <w:rFonts w:ascii="Calibri" w:hAnsi="Calibri"/>
                <w:color w:val="161A22"/>
                <w:sz w:val="19"/>
              </w:rPr>
              <w:t>03</w:t>
            </w:r>
          </w:p>
        </w:tc>
        <w:tc>
          <w:tcPr>
            <w:tcW w:type="dxa" w:w="6660"/>
            <w:vAlign w:val="center"/>
            <w:tcMar>
              <w:top w:w="80" w:type="dxa"/>
              <w:start w:w="120" w:type="dxa"/>
              <w:bottom w:w="80" w:type="dxa"/>
              <w:end w:w="120" w:type="dxa"/>
            </w:tcMar>
          </w:tcPr>
          <w:p>
            <w:r>
              <w:rPr>
                <w:rFonts w:ascii="Calibri" w:hAnsi="Calibri"/>
                <w:color w:val="161A22"/>
                <w:sz w:val="19"/>
              </w:rPr>
              <w:t>Auth + middleware</w:t>
            </w:r>
          </w:p>
        </w:tc>
        <w:tc>
          <w:tcPr>
            <w:tcW w:type="dxa" w:w="1800"/>
            <w:vAlign w:val="center"/>
            <w:tcMar>
              <w:top w:w="80" w:type="dxa"/>
              <w:start w:w="120" w:type="dxa"/>
              <w:bottom w:w="80" w:type="dxa"/>
              <w:end w:w="120" w:type="dxa"/>
            </w:tcMar>
          </w:tcPr>
          <w:p>
            <w:r>
              <w:rPr>
                <w:rFonts w:ascii="Calibri" w:hAnsi="Calibri"/>
                <w:color w:val="161A22"/>
                <w:sz w:val="19"/>
              </w:rPr>
              <w:t>6</w:t>
            </w:r>
          </w:p>
        </w:tc>
      </w:tr>
      <w:tr>
        <w:tc>
          <w:tcPr>
            <w:tcW w:type="dxa" w:w="900"/>
            <w:vAlign w:val="center"/>
            <w:tcMar>
              <w:top w:w="80" w:type="dxa"/>
              <w:start w:w="120" w:type="dxa"/>
              <w:bottom w:w="80" w:type="dxa"/>
              <w:end w:w="120" w:type="dxa"/>
            </w:tcMar>
          </w:tcPr>
          <w:p>
            <w:r>
              <w:rPr>
                <w:rFonts w:ascii="Calibri" w:hAnsi="Calibri"/>
                <w:color w:val="161A22"/>
                <w:sz w:val="19"/>
              </w:rPr>
              <w:t>04</w:t>
            </w:r>
          </w:p>
        </w:tc>
        <w:tc>
          <w:tcPr>
            <w:tcW w:type="dxa" w:w="6660"/>
            <w:vAlign w:val="center"/>
            <w:tcMar>
              <w:top w:w="80" w:type="dxa"/>
              <w:start w:w="120" w:type="dxa"/>
              <w:bottom w:w="80" w:type="dxa"/>
              <w:end w:w="120" w:type="dxa"/>
            </w:tcMar>
          </w:tcPr>
          <w:p>
            <w:r>
              <w:rPr>
                <w:rFonts w:ascii="Calibri" w:hAnsi="Calibri"/>
                <w:color w:val="161A22"/>
                <w:sz w:val="19"/>
              </w:rPr>
              <w:t>Compare architectures</w:t>
            </w:r>
          </w:p>
        </w:tc>
        <w:tc>
          <w:tcPr>
            <w:tcW w:type="dxa" w:w="1800"/>
            <w:vAlign w:val="center"/>
            <w:tcMar>
              <w:top w:w="80" w:type="dxa"/>
              <w:start w:w="120" w:type="dxa"/>
              <w:bottom w:w="80" w:type="dxa"/>
              <w:end w:w="120" w:type="dxa"/>
            </w:tcMar>
          </w:tcPr>
          <w:p>
            <w:r>
              <w:rPr>
                <w:rFonts w:ascii="Calibri" w:hAnsi="Calibri"/>
                <w:color w:val="161A22"/>
                <w:sz w:val="19"/>
              </w:rPr>
              <w:t>3</w:t>
            </w:r>
          </w:p>
        </w:tc>
      </w:tr>
      <w:tr>
        <w:tc>
          <w:tcPr>
            <w:tcW w:type="dxa" w:w="900"/>
            <w:vAlign w:val="center"/>
            <w:tcMar>
              <w:top w:w="80" w:type="dxa"/>
              <w:start w:w="120" w:type="dxa"/>
              <w:bottom w:w="80" w:type="dxa"/>
              <w:end w:w="120" w:type="dxa"/>
            </w:tcMar>
          </w:tcPr>
          <w:p>
            <w:r>
              <w:rPr>
                <w:rFonts w:ascii="Calibri" w:hAnsi="Calibri"/>
                <w:color w:val="161A22"/>
                <w:sz w:val="19"/>
              </w:rPr>
              <w:t>05</w:t>
            </w:r>
          </w:p>
        </w:tc>
        <w:tc>
          <w:tcPr>
            <w:tcW w:type="dxa" w:w="6660"/>
            <w:vAlign w:val="center"/>
            <w:tcMar>
              <w:top w:w="80" w:type="dxa"/>
              <w:start w:w="120" w:type="dxa"/>
              <w:bottom w:w="80" w:type="dxa"/>
              <w:end w:w="120" w:type="dxa"/>
            </w:tcMar>
          </w:tcPr>
          <w:p>
            <w:r>
              <w:rPr>
                <w:rFonts w:ascii="Calibri" w:hAnsi="Calibri"/>
                <w:color w:val="161A22"/>
                <w:sz w:val="19"/>
              </w:rPr>
              <w:t>Database + Data API</w:t>
            </w:r>
          </w:p>
        </w:tc>
        <w:tc>
          <w:tcPr>
            <w:tcW w:type="dxa" w:w="1800"/>
            <w:vAlign w:val="center"/>
            <w:tcMar>
              <w:top w:w="80" w:type="dxa"/>
              <w:start w:w="120" w:type="dxa"/>
              <w:bottom w:w="80" w:type="dxa"/>
              <w:end w:w="120" w:type="dxa"/>
            </w:tcMar>
          </w:tcPr>
          <w:p>
            <w:r>
              <w:rPr>
                <w:rFonts w:ascii="Calibri" w:hAnsi="Calibri"/>
                <w:color w:val="161A22"/>
                <w:sz w:val="19"/>
              </w:rPr>
              <w:t>5</w:t>
            </w:r>
          </w:p>
        </w:tc>
      </w:tr>
      <w:tr>
        <w:tc>
          <w:tcPr>
            <w:tcW w:type="dxa" w:w="900"/>
            <w:vAlign w:val="center"/>
            <w:tcMar>
              <w:top w:w="80" w:type="dxa"/>
              <w:start w:w="120" w:type="dxa"/>
              <w:bottom w:w="80" w:type="dxa"/>
              <w:end w:w="120" w:type="dxa"/>
            </w:tcMar>
          </w:tcPr>
          <w:p>
            <w:r>
              <w:rPr>
                <w:rFonts w:ascii="Calibri" w:hAnsi="Calibri"/>
                <w:color w:val="161A22"/>
                <w:sz w:val="19"/>
              </w:rPr>
              <w:t>06</w:t>
            </w:r>
          </w:p>
        </w:tc>
        <w:tc>
          <w:tcPr>
            <w:tcW w:type="dxa" w:w="6660"/>
            <w:vAlign w:val="center"/>
            <w:tcMar>
              <w:top w:w="80" w:type="dxa"/>
              <w:start w:w="120" w:type="dxa"/>
              <w:bottom w:w="80" w:type="dxa"/>
              <w:end w:w="120" w:type="dxa"/>
            </w:tcMar>
          </w:tcPr>
          <w:p>
            <w:r>
              <w:rPr>
                <w:rFonts w:ascii="Calibri" w:hAnsi="Calibri"/>
                <w:color w:val="161A22"/>
                <w:sz w:val="19"/>
              </w:rPr>
              <w:t>RLS policies</w:t>
            </w:r>
          </w:p>
        </w:tc>
        <w:tc>
          <w:tcPr>
            <w:tcW w:type="dxa" w:w="1800"/>
            <w:vAlign w:val="center"/>
            <w:tcMar>
              <w:top w:w="80" w:type="dxa"/>
              <w:start w:w="120" w:type="dxa"/>
              <w:bottom w:w="80" w:type="dxa"/>
              <w:end w:w="120" w:type="dxa"/>
            </w:tcMar>
          </w:tcPr>
          <w:p>
            <w:r>
              <w:rPr>
                <w:rFonts w:ascii="Calibri" w:hAnsi="Calibri"/>
                <w:color w:val="161A22"/>
                <w:sz w:val="19"/>
              </w:rPr>
              <w:t>5</w:t>
            </w:r>
          </w:p>
        </w:tc>
      </w:tr>
      <w:tr>
        <w:tc>
          <w:tcPr>
            <w:tcW w:type="dxa" w:w="900"/>
            <w:vAlign w:val="center"/>
            <w:tcMar>
              <w:top w:w="80" w:type="dxa"/>
              <w:start w:w="120" w:type="dxa"/>
              <w:bottom w:w="80" w:type="dxa"/>
              <w:end w:w="120" w:type="dxa"/>
            </w:tcMar>
          </w:tcPr>
          <w:p>
            <w:r>
              <w:rPr>
                <w:rFonts w:ascii="Calibri" w:hAnsi="Calibri"/>
                <w:color w:val="161A22"/>
                <w:sz w:val="19"/>
              </w:rPr>
              <w:t>07</w:t>
            </w:r>
          </w:p>
        </w:tc>
        <w:tc>
          <w:tcPr>
            <w:tcW w:type="dxa" w:w="6660"/>
            <w:vAlign w:val="center"/>
            <w:tcMar>
              <w:top w:w="80" w:type="dxa"/>
              <w:start w:w="120" w:type="dxa"/>
              <w:bottom w:w="80" w:type="dxa"/>
              <w:end w:w="120" w:type="dxa"/>
            </w:tcMar>
          </w:tcPr>
          <w:p>
            <w:r>
              <w:rPr>
                <w:rFonts w:ascii="Calibri" w:hAnsi="Calibri"/>
                <w:color w:val="161A22"/>
                <w:sz w:val="19"/>
              </w:rPr>
              <w:t>Everyday SQL</w:t>
            </w:r>
          </w:p>
        </w:tc>
        <w:tc>
          <w:tcPr>
            <w:tcW w:type="dxa" w:w="1800"/>
            <w:vAlign w:val="center"/>
            <w:tcMar>
              <w:top w:w="80" w:type="dxa"/>
              <w:start w:w="120" w:type="dxa"/>
              <w:bottom w:w="80" w:type="dxa"/>
              <w:end w:w="120" w:type="dxa"/>
            </w:tcMar>
          </w:tcPr>
          <w:p>
            <w:r>
              <w:rPr>
                <w:rFonts w:ascii="Calibri" w:hAnsi="Calibri"/>
                <w:color w:val="161A22"/>
                <w:sz w:val="19"/>
              </w:rPr>
              <w:t>6</w:t>
            </w:r>
          </w:p>
        </w:tc>
      </w:tr>
      <w:tr>
        <w:tc>
          <w:tcPr>
            <w:tcW w:type="dxa" w:w="900"/>
            <w:vAlign w:val="center"/>
            <w:tcMar>
              <w:top w:w="80" w:type="dxa"/>
              <w:start w:w="120" w:type="dxa"/>
              <w:bottom w:w="80" w:type="dxa"/>
              <w:end w:w="120" w:type="dxa"/>
            </w:tcMar>
          </w:tcPr>
          <w:p>
            <w:r>
              <w:rPr>
                <w:rFonts w:ascii="Calibri" w:hAnsi="Calibri"/>
                <w:color w:val="161A22"/>
                <w:sz w:val="19"/>
              </w:rPr>
              <w:t>08</w:t>
            </w:r>
          </w:p>
        </w:tc>
        <w:tc>
          <w:tcPr>
            <w:tcW w:type="dxa" w:w="6660"/>
            <w:vAlign w:val="center"/>
            <w:tcMar>
              <w:top w:w="80" w:type="dxa"/>
              <w:start w:w="120" w:type="dxa"/>
              <w:bottom w:w="80" w:type="dxa"/>
              <w:end w:w="120" w:type="dxa"/>
            </w:tcMar>
          </w:tcPr>
          <w:p>
            <w:r>
              <w:rPr>
                <w:rFonts w:ascii="Calibri" w:hAnsi="Calibri"/>
                <w:color w:val="161A22"/>
                <w:sz w:val="19"/>
              </w:rPr>
              <w:t>Storage</w:t>
            </w:r>
          </w:p>
        </w:tc>
        <w:tc>
          <w:tcPr>
            <w:tcW w:type="dxa" w:w="1800"/>
            <w:vAlign w:val="center"/>
            <w:tcMar>
              <w:top w:w="80" w:type="dxa"/>
              <w:start w:w="120" w:type="dxa"/>
              <w:bottom w:w="80" w:type="dxa"/>
              <w:end w:w="120" w:type="dxa"/>
            </w:tcMar>
          </w:tcPr>
          <w:p>
            <w:r>
              <w:rPr>
                <w:rFonts w:ascii="Calibri" w:hAnsi="Calibri"/>
                <w:color w:val="161A22"/>
                <w:sz w:val="19"/>
              </w:rPr>
              <w:t>4</w:t>
            </w:r>
          </w:p>
        </w:tc>
      </w:tr>
      <w:tr>
        <w:tc>
          <w:tcPr>
            <w:tcW w:type="dxa" w:w="900"/>
            <w:vAlign w:val="center"/>
            <w:tcMar>
              <w:top w:w="80" w:type="dxa"/>
              <w:start w:w="120" w:type="dxa"/>
              <w:bottom w:w="80" w:type="dxa"/>
              <w:end w:w="120" w:type="dxa"/>
            </w:tcMar>
          </w:tcPr>
          <w:p>
            <w:r>
              <w:rPr>
                <w:rFonts w:ascii="Calibri" w:hAnsi="Calibri"/>
                <w:color w:val="161A22"/>
                <w:sz w:val="19"/>
              </w:rPr>
              <w:t>09</w:t>
            </w:r>
          </w:p>
        </w:tc>
        <w:tc>
          <w:tcPr>
            <w:tcW w:type="dxa" w:w="6660"/>
            <w:vAlign w:val="center"/>
            <w:tcMar>
              <w:top w:w="80" w:type="dxa"/>
              <w:start w:w="120" w:type="dxa"/>
              <w:bottom w:w="80" w:type="dxa"/>
              <w:end w:w="120" w:type="dxa"/>
            </w:tcMar>
          </w:tcPr>
          <w:p>
            <w:r>
              <w:rPr>
                <w:rFonts w:ascii="Calibri" w:hAnsi="Calibri"/>
                <w:color w:val="161A22"/>
                <w:sz w:val="19"/>
              </w:rPr>
              <w:t>CDN</w:t>
            </w:r>
          </w:p>
        </w:tc>
        <w:tc>
          <w:tcPr>
            <w:tcW w:type="dxa" w:w="1800"/>
            <w:vAlign w:val="center"/>
            <w:tcMar>
              <w:top w:w="80" w:type="dxa"/>
              <w:start w:w="120" w:type="dxa"/>
              <w:bottom w:w="80" w:type="dxa"/>
              <w:end w:w="120" w:type="dxa"/>
            </w:tcMar>
          </w:tcPr>
          <w:p>
            <w:r>
              <w:rPr>
                <w:rFonts w:ascii="Calibri" w:hAnsi="Calibri"/>
                <w:color w:val="161A22"/>
                <w:sz w:val="19"/>
              </w:rPr>
              <w:t>5</w:t>
            </w:r>
          </w:p>
        </w:tc>
      </w:tr>
      <w:tr>
        <w:tc>
          <w:tcPr>
            <w:tcW w:type="dxa" w:w="900"/>
            <w:vAlign w:val="center"/>
            <w:tcMar>
              <w:top w:w="80" w:type="dxa"/>
              <w:start w:w="120" w:type="dxa"/>
              <w:bottom w:w="80" w:type="dxa"/>
              <w:end w:w="120" w:type="dxa"/>
            </w:tcMar>
          </w:tcPr>
          <w:p>
            <w:r>
              <w:rPr>
                <w:rFonts w:ascii="Calibri" w:hAnsi="Calibri"/>
                <w:color w:val="161A22"/>
                <w:sz w:val="19"/>
              </w:rPr>
              <w:t>10</w:t>
            </w:r>
          </w:p>
        </w:tc>
        <w:tc>
          <w:tcPr>
            <w:tcW w:type="dxa" w:w="6660"/>
            <w:vAlign w:val="center"/>
            <w:tcMar>
              <w:top w:w="80" w:type="dxa"/>
              <w:start w:w="120" w:type="dxa"/>
              <w:bottom w:w="80" w:type="dxa"/>
              <w:end w:w="120" w:type="dxa"/>
            </w:tcMar>
          </w:tcPr>
          <w:p>
            <w:r>
              <w:rPr>
                <w:rFonts w:ascii="Calibri" w:hAnsi="Calibri"/>
                <w:color w:val="161A22"/>
                <w:sz w:val="19"/>
              </w:rPr>
              <w:t>Cron</w:t>
            </w:r>
          </w:p>
        </w:tc>
        <w:tc>
          <w:tcPr>
            <w:tcW w:type="dxa" w:w="1800"/>
            <w:vAlign w:val="center"/>
            <w:tcMar>
              <w:top w:w="80" w:type="dxa"/>
              <w:start w:w="120" w:type="dxa"/>
              <w:bottom w:w="80" w:type="dxa"/>
              <w:end w:w="120" w:type="dxa"/>
            </w:tcMar>
          </w:tcPr>
          <w:p>
            <w:r>
              <w:rPr>
                <w:rFonts w:ascii="Calibri" w:hAnsi="Calibri"/>
                <w:color w:val="161A22"/>
                <w:sz w:val="19"/>
              </w:rPr>
              <w:t>4</w:t>
            </w:r>
          </w:p>
        </w:tc>
      </w:tr>
      <w:tr>
        <w:tc>
          <w:tcPr>
            <w:tcW w:type="dxa" w:w="900"/>
            <w:vAlign w:val="center"/>
            <w:tcMar>
              <w:top w:w="80" w:type="dxa"/>
              <w:start w:w="120" w:type="dxa"/>
              <w:bottom w:w="80" w:type="dxa"/>
              <w:end w:w="120" w:type="dxa"/>
            </w:tcMar>
          </w:tcPr>
          <w:p>
            <w:r>
              <w:rPr>
                <w:rFonts w:ascii="Calibri" w:hAnsi="Calibri"/>
                <w:color w:val="161A22"/>
                <w:sz w:val="19"/>
              </w:rPr>
              <w:t>11</w:t>
            </w:r>
          </w:p>
        </w:tc>
        <w:tc>
          <w:tcPr>
            <w:tcW w:type="dxa" w:w="6660"/>
            <w:vAlign w:val="center"/>
            <w:tcMar>
              <w:top w:w="80" w:type="dxa"/>
              <w:start w:w="120" w:type="dxa"/>
              <w:bottom w:w="80" w:type="dxa"/>
              <w:end w:w="120" w:type="dxa"/>
            </w:tcMar>
          </w:tcPr>
          <w:p>
            <w:r>
              <w:rPr>
                <w:rFonts w:ascii="Calibri" w:hAnsi="Calibri"/>
                <w:color w:val="161A22"/>
                <w:sz w:val="19"/>
              </w:rPr>
              <w:t>AI + agentic development</w:t>
            </w:r>
          </w:p>
        </w:tc>
        <w:tc>
          <w:tcPr>
            <w:tcW w:type="dxa" w:w="1800"/>
            <w:vAlign w:val="center"/>
            <w:tcMar>
              <w:top w:w="80" w:type="dxa"/>
              <w:start w:w="120" w:type="dxa"/>
              <w:bottom w:w="80" w:type="dxa"/>
              <w:end w:w="120" w:type="dxa"/>
            </w:tcMar>
          </w:tcPr>
          <w:p>
            <w:r>
              <w:rPr>
                <w:rFonts w:ascii="Calibri" w:hAnsi="Calibri"/>
                <w:color w:val="161A22"/>
                <w:sz w:val="19"/>
              </w:rPr>
              <w:t>5</w:t>
            </w:r>
          </w:p>
        </w:tc>
      </w:tr>
      <w:tr>
        <w:tc>
          <w:tcPr>
            <w:tcW w:type="dxa" w:w="900"/>
            <w:vAlign w:val="center"/>
            <w:tcMar>
              <w:top w:w="80" w:type="dxa"/>
              <w:start w:w="120" w:type="dxa"/>
              <w:bottom w:w="80" w:type="dxa"/>
              <w:end w:w="120" w:type="dxa"/>
            </w:tcMar>
          </w:tcPr>
          <w:p>
            <w:r>
              <w:rPr>
                <w:rFonts w:ascii="Calibri" w:hAnsi="Calibri"/>
                <w:color w:val="161A22"/>
                <w:sz w:val="19"/>
              </w:rPr>
              <w:t>12</w:t>
            </w:r>
          </w:p>
        </w:tc>
        <w:tc>
          <w:tcPr>
            <w:tcW w:type="dxa" w:w="6660"/>
            <w:vAlign w:val="center"/>
            <w:tcMar>
              <w:top w:w="80" w:type="dxa"/>
              <w:start w:w="120" w:type="dxa"/>
              <w:bottom w:w="80" w:type="dxa"/>
              <w:end w:w="120" w:type="dxa"/>
            </w:tcMar>
          </w:tcPr>
          <w:p>
            <w:r>
              <w:rPr>
                <w:rFonts w:ascii="Calibri" w:hAnsi="Calibri"/>
                <w:color w:val="161A22"/>
                <w:sz w:val="19"/>
              </w:rPr>
              <w:t>Memory Wall</w:t>
            </w:r>
          </w:p>
        </w:tc>
        <w:tc>
          <w:tcPr>
            <w:tcW w:type="dxa" w:w="1800"/>
            <w:vAlign w:val="center"/>
            <w:tcMar>
              <w:top w:w="80" w:type="dxa"/>
              <w:start w:w="120" w:type="dxa"/>
              <w:bottom w:w="80" w:type="dxa"/>
              <w:end w:w="120" w:type="dxa"/>
            </w:tcMar>
          </w:tcPr>
          <w:p>
            <w:r>
              <w:rPr>
                <w:rFonts w:ascii="Calibri" w:hAnsi="Calibri"/>
                <w:color w:val="161A22"/>
                <w:sz w:val="19"/>
              </w:rPr>
              <w:t>3</w:t>
            </w:r>
          </w:p>
        </w:tc>
      </w:tr>
      <w:tr>
        <w:tc>
          <w:tcPr>
            <w:tcW w:type="dxa" w:w="900"/>
            <w:vAlign w:val="center"/>
            <w:tcMar>
              <w:top w:w="80" w:type="dxa"/>
              <w:start w:w="120" w:type="dxa"/>
              <w:bottom w:w="80" w:type="dxa"/>
              <w:end w:w="120" w:type="dxa"/>
            </w:tcMar>
          </w:tcPr>
          <w:p>
            <w:r>
              <w:rPr>
                <w:rFonts w:ascii="Calibri" w:hAnsi="Calibri"/>
                <w:color w:val="161A22"/>
                <w:sz w:val="19"/>
              </w:rPr>
              <w:t>13</w:t>
            </w:r>
          </w:p>
        </w:tc>
        <w:tc>
          <w:tcPr>
            <w:tcW w:type="dxa" w:w="6660"/>
            <w:vAlign w:val="center"/>
            <w:tcMar>
              <w:top w:w="80" w:type="dxa"/>
              <w:start w:w="120" w:type="dxa"/>
              <w:bottom w:w="80" w:type="dxa"/>
              <w:end w:w="120" w:type="dxa"/>
            </w:tcMar>
          </w:tcPr>
          <w:p>
            <w:r>
              <w:rPr>
                <w:rFonts w:ascii="Calibri" w:hAnsi="Calibri"/>
                <w:color w:val="161A22"/>
                <w:sz w:val="19"/>
              </w:rPr>
              <w:t>Practical recipe</w:t>
            </w:r>
          </w:p>
        </w:tc>
        <w:tc>
          <w:tcPr>
            <w:tcW w:type="dxa" w:w="1800"/>
            <w:vAlign w:val="center"/>
            <w:tcMar>
              <w:top w:w="80" w:type="dxa"/>
              <w:start w:w="120" w:type="dxa"/>
              <w:bottom w:w="80" w:type="dxa"/>
              <w:end w:w="120" w:type="dxa"/>
            </w:tcMar>
          </w:tcPr>
          <w:p>
            <w:r>
              <w:rPr>
                <w:rFonts w:ascii="Calibri" w:hAnsi="Calibri"/>
                <w:color w:val="161A22"/>
                <w:sz w:val="19"/>
              </w:rPr>
              <w:t>2</w:t>
            </w:r>
          </w:p>
        </w:tc>
      </w:tr>
      <w:tr>
        <w:tc>
          <w:tcPr>
            <w:tcW w:type="dxa" w:w="900"/>
            <w:vAlign w:val="center"/>
            <w:tcMar>
              <w:top w:w="80" w:type="dxa"/>
              <w:start w:w="120" w:type="dxa"/>
              <w:bottom w:w="80" w:type="dxa"/>
              <w:end w:w="120" w:type="dxa"/>
            </w:tcMar>
          </w:tcPr>
          <w:p>
            <w:r>
              <w:rPr>
                <w:rFonts w:ascii="Calibri" w:hAnsi="Calibri"/>
                <w:color w:val="161A22"/>
                <w:sz w:val="19"/>
              </w:rPr>
              <w:t>—</w:t>
            </w:r>
          </w:p>
        </w:tc>
        <w:tc>
          <w:tcPr>
            <w:tcW w:type="dxa" w:w="6660"/>
            <w:vAlign w:val="center"/>
            <w:tcMar>
              <w:top w:w="80" w:type="dxa"/>
              <w:start w:w="120" w:type="dxa"/>
              <w:bottom w:w="80" w:type="dxa"/>
              <w:end w:w="120" w:type="dxa"/>
            </w:tcMar>
          </w:tcPr>
          <w:p>
            <w:r>
              <w:rPr>
                <w:rFonts w:ascii="Calibri" w:hAnsi="Calibri"/>
                <w:color w:val="161A22"/>
                <w:sz w:val="19"/>
              </w:rPr>
              <w:t>Questions</w:t>
            </w:r>
          </w:p>
        </w:tc>
        <w:tc>
          <w:tcPr>
            <w:tcW w:type="dxa" w:w="1800"/>
            <w:vAlign w:val="center"/>
            <w:tcMar>
              <w:top w:w="80" w:type="dxa"/>
              <w:start w:w="120" w:type="dxa"/>
              <w:bottom w:w="80" w:type="dxa"/>
              <w:end w:w="120" w:type="dxa"/>
            </w:tcMar>
          </w:tcPr>
          <w:p>
            <w:r>
              <w:rPr>
                <w:rFonts w:ascii="Calibri" w:hAnsi="Calibri"/>
                <w:color w:val="161A22"/>
                <w:sz w:val="19"/>
              </w:rPr>
              <w:t>5</w:t>
            </w:r>
          </w:p>
        </w:tc>
      </w:tr>
    </w:tbl>
    <w:p>
      <w:pPr>
        <w:pStyle w:val="Heading2"/>
      </w:pPr>
      <w:r>
        <w:rPr>
          <w:rFonts w:ascii="Calibri" w:hAnsi="Calibri"/>
          <w:b/>
          <w:color w:val="2E74B5"/>
          <w:sz w:val="26"/>
        </w:rPr>
        <w:t>How to facilitate the deck</w:t>
      </w:r>
    </w:p>
    <w:p>
      <w:pPr>
        <w:numPr>
          <w:ilvl w:val="0"/>
          <w:numId w:val="10"/>
        </w:numPr>
      </w:pPr>
      <w:r>
        <w:rPr>
          <w:rFonts w:ascii="Calibri" w:hAnsi="Calibri"/>
          <w:color w:val="161A22"/>
          <w:sz w:val="22"/>
        </w:rPr>
        <w:t>Choose light or dark mode before the room begins; the choice is remembered across the deck and Memory Wall.</w:t>
      </w:r>
    </w:p>
    <w:p>
      <w:pPr>
        <w:numPr>
          <w:ilvl w:val="0"/>
          <w:numId w:val="10"/>
        </w:numPr>
      </w:pPr>
      <w:r>
        <w:rPr>
          <w:rFonts w:ascii="Calibri" w:hAnsi="Calibri"/>
          <w:color w:val="161A22"/>
          <w:sz w:val="22"/>
        </w:rPr>
        <w:t>Use the chapter rail on desktop, or Next/Previous and arrow keys. Slides that exceed the viewport scroll inside the content area.</w:t>
      </w:r>
    </w:p>
    <w:p>
      <w:pPr>
        <w:numPr>
          <w:ilvl w:val="0"/>
          <w:numId w:val="10"/>
        </w:numPr>
      </w:pPr>
      <w:r>
        <w:rPr>
          <w:rFonts w:ascii="Calibri" w:hAnsi="Calibri"/>
          <w:color w:val="161A22"/>
          <w:sz w:val="22"/>
        </w:rPr>
        <w:t>Ask what the audience expects before revealing each interactive result.</w:t>
      </w:r>
    </w:p>
    <w:p>
      <w:pPr>
        <w:numPr>
          <w:ilvl w:val="0"/>
          <w:numId w:val="10"/>
        </w:numPr>
      </w:pPr>
      <w:r>
        <w:rPr>
          <w:rFonts w:ascii="Calibri" w:hAnsi="Calibri"/>
          <w:color w:val="161A22"/>
          <w:sz w:val="22"/>
        </w:rPr>
        <w:t>Use the SQL simulator for behavior and the recipes for production patterns; the simulator never changes the live project.</w:t>
      </w:r>
    </w:p>
    <w:p>
      <w:pPr>
        <w:numPr>
          <w:ilvl w:val="0"/>
          <w:numId w:val="10"/>
        </w:numPr>
      </w:pPr>
      <w:r>
        <w:rPr>
          <w:rFonts w:ascii="Calibri" w:hAnsi="Calibri"/>
          <w:color w:val="161A22"/>
          <w:sz w:val="22"/>
        </w:rPr>
        <w:t>Open the Memory Wall near the end and invite one short takeaway per participant.</w:t>
      </w:r>
    </w:p>
    <w:p>
      <w:r>
        <w:br w:type="page"/>
      </w:r>
    </w:p>
    <w:p>
      <w:pPr>
        <w:spacing w:after="80"/>
      </w:pPr>
      <w:r>
        <w:rPr>
          <w:rFonts w:ascii="Calibri" w:hAnsi="Calibri"/>
          <w:b/>
          <w:color w:val="149D6E"/>
          <w:sz w:val="18"/>
        </w:rPr>
        <w:t>SLIDE 01  ·  WHY SUPABASE</w:t>
      </w:r>
    </w:p>
    <w:p>
      <w:pPr>
        <w:pStyle w:val="Heading1"/>
      </w:pPr>
      <w:r>
        <w:rPr>
          <w:rFonts w:ascii="Calibri" w:hAnsi="Calibri"/>
          <w:b/>
          <w:color w:val="2E74B5"/>
          <w:sz w:val="32"/>
        </w:rPr>
        <w:t>One database. Less backend glue.</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Frame Supabase as managed Postgres plus the backend services an MVP commonly needs—not as a replacement for database fundamentals.</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3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A Postgres core surrounded by Auth, API, Storage, and Realtime.</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Click “Show me how” to move into connection setup.</w:t>
            </w:r>
          </w:p>
        </w:tc>
      </w:tr>
    </w:tbl>
    <w:p>
      <w:pPr>
        <w:pStyle w:val="Heading2"/>
      </w:pPr>
      <w:r>
        <w:rPr>
          <w:rFonts w:ascii="Calibri" w:hAnsi="Calibri"/>
          <w:b/>
          <w:color w:val="2E74B5"/>
          <w:sz w:val="26"/>
        </w:rPr>
        <w:t>Suggested talk track</w:t>
      </w:r>
    </w:p>
    <w:p>
      <w:r>
        <w:rPr>
          <w:rFonts w:ascii="Calibri" w:hAnsi="Calibri"/>
          <w:color w:val="161A22"/>
          <w:sz w:val="22"/>
        </w:rPr>
        <w:t>Start with the problem, not the feature list. A traditional MVP often needs a database, authentication provider, API server, file storage, realtime plumbing, and separate consoles. Supabase places those services around one Postgres database and exposes them through one project and SDK. Developers still design tables, indexes, constraints, migrations, and policies; they simply write less glue code before validating the product.</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Supabase is still Postgres, so SQL and relational design remain valuable.</w:t>
      </w:r>
    </w:p>
    <w:p>
      <w:pPr>
        <w:numPr>
          <w:ilvl w:val="0"/>
          <w:numId w:val="10"/>
        </w:numPr>
      </w:pPr>
      <w:r>
        <w:rPr>
          <w:rFonts w:ascii="Calibri" w:hAnsi="Calibri"/>
          <w:color w:val="161A22"/>
          <w:sz w:val="22"/>
        </w:rPr>
        <w:t>The speed benefit comes from integrated services and fewer systems to configure.</w:t>
      </w:r>
    </w:p>
    <w:p>
      <w:pPr>
        <w:numPr>
          <w:ilvl w:val="0"/>
          <w:numId w:val="10"/>
        </w:numPr>
      </w:pPr>
      <w:r>
        <w:rPr>
          <w:rFonts w:ascii="Calibri" w:hAnsi="Calibri"/>
          <w:color w:val="161A22"/>
          <w:sz w:val="22"/>
        </w:rPr>
        <w:t>Begin with the database and add other services only when the product needs them.</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Do not promise that Supabase removes backend thinking. It removes integration work, not schema design, security decisions, or production discipline.</w:t>
            </w:r>
          </w:p>
        </w:tc>
      </w:tr>
    </w:tbl>
    <w:p>
      <w:pPr>
        <w:spacing w:before="140" w:after="0"/>
      </w:pPr>
      <w:r>
        <w:rPr>
          <w:rFonts w:ascii="Calibri" w:hAnsi="Calibri"/>
          <w:b/>
          <w:color w:val="5E6673"/>
          <w:sz w:val="19"/>
        </w:rPr>
        <w:t xml:space="preserve">Transition: </w:t>
      </w:r>
      <w:r>
        <w:rPr>
          <w:rFonts w:ascii="Calibri" w:hAnsi="Calibri"/>
          <w:b w:val="0"/>
          <w:i/>
          <w:color w:val="5E6673"/>
          <w:sz w:val="19"/>
        </w:rPr>
        <w:t>If the platform is one project, what does the frontend need to connect?</w:t>
      </w:r>
    </w:p>
    <w:p>
      <w:r>
        <w:br w:type="page"/>
      </w:r>
    </w:p>
    <w:p>
      <w:pPr>
        <w:spacing w:after="80"/>
      </w:pPr>
      <w:r>
        <w:rPr>
          <w:rFonts w:ascii="Calibri" w:hAnsi="Calibri"/>
          <w:b/>
          <w:color w:val="149D6E"/>
          <w:sz w:val="18"/>
        </w:rPr>
        <w:t>SLIDE 02  ·  CONNECT</w:t>
      </w:r>
    </w:p>
    <w:p>
      <w:pPr>
        <w:pStyle w:val="Heading1"/>
      </w:pPr>
      <w:r>
        <w:rPr>
          <w:rFonts w:ascii="Calibri" w:hAnsi="Calibri"/>
          <w:b/>
          <w:color w:val="2E74B5"/>
          <w:sz w:val="32"/>
        </w:rPr>
        <w:t>Connect in three lines.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Demystify the project URL and publishable key, and show that browser-safe credentials are intentionally public.</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4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A short createClient example beside a live connection card.</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Click the connection test; the state moves from SDK to Data API to Postgres, then shows a live result or clear error.</w:t>
            </w:r>
          </w:p>
        </w:tc>
      </w:tr>
    </w:tbl>
    <w:p>
      <w:pPr>
        <w:pStyle w:val="Heading2"/>
      </w:pPr>
      <w:r>
        <w:rPr>
          <w:rFonts w:ascii="Calibri" w:hAnsi="Calibri"/>
          <w:b/>
          <w:color w:val="2E74B5"/>
          <w:sz w:val="26"/>
        </w:rPr>
        <w:t>Suggested talk track</w:t>
      </w:r>
    </w:p>
    <w:p>
      <w:r>
        <w:rPr>
          <w:rFonts w:ascii="Calibri" w:hAnsi="Calibri"/>
          <w:color w:val="161A22"/>
          <w:sz w:val="22"/>
        </w:rPr>
        <w:t>A browser client needs the project URL and a publishable key. The URL identifies the Supabase project. The publishable key identifies the client type; it is not a master secret. The SDK attaches it to generated API calls, and Supabase evaluates database or Storage policies for the current user. This is why the key may exist in frontend environment variables while the service-role key must never be shipped to a browser.</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Create the client once and reuse it throughout the application.</w:t>
      </w:r>
    </w:p>
    <w:p>
      <w:pPr>
        <w:numPr>
          <w:ilvl w:val="0"/>
          <w:numId w:val="10"/>
        </w:numPr>
      </w:pPr>
      <w:r>
        <w:rPr>
          <w:rFonts w:ascii="Calibri" w:hAnsi="Calibri"/>
          <w:color w:val="161A22"/>
          <w:sz w:val="22"/>
        </w:rPr>
        <w:t>The publishable key is safe only because RLS and Storage policies limit what it can do.</w:t>
      </w:r>
    </w:p>
    <w:p>
      <w:pPr>
        <w:numPr>
          <w:ilvl w:val="0"/>
          <w:numId w:val="10"/>
        </w:numPr>
      </w:pPr>
      <w:r>
        <w:rPr>
          <w:rFonts w:ascii="Calibri" w:hAnsi="Calibri"/>
          <w:color w:val="161A22"/>
          <w:sz w:val="22"/>
        </w:rPr>
        <w:t>A service-role key bypasses RLS and belongs only in trusted server environments.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Do not describe the publishable key as the security boundary. The policy evaluated for each request is the boundary.</w:t>
            </w:r>
          </w:p>
        </w:tc>
      </w:tr>
    </w:tbl>
    <w:p>
      <w:pPr>
        <w:spacing w:before="140" w:after="0"/>
      </w:pPr>
      <w:r>
        <w:rPr>
          <w:rFonts w:ascii="Calibri" w:hAnsi="Calibri"/>
          <w:b/>
          <w:color w:val="5E6673"/>
          <w:sz w:val="19"/>
        </w:rPr>
        <w:t xml:space="preserve">Transition: </w:t>
      </w:r>
      <w:r>
        <w:rPr>
          <w:rFonts w:ascii="Calibri" w:hAnsi="Calibri"/>
          <w:b w:val="0"/>
          <w:i/>
          <w:color w:val="5E6673"/>
          <w:sz w:val="19"/>
        </w:rPr>
        <w:t>The project is connected; now the app needs to know who the visitor is.</w:t>
      </w:r>
    </w:p>
    <w:p>
      <w:r>
        <w:br w:type="page"/>
      </w:r>
    </w:p>
    <w:p>
      <w:pPr>
        <w:spacing w:after="80"/>
      </w:pPr>
      <w:r>
        <w:rPr>
          <w:rFonts w:ascii="Calibri" w:hAnsi="Calibri"/>
          <w:b/>
          <w:color w:val="149D6E"/>
          <w:sz w:val="18"/>
        </w:rPr>
        <w:t>SLIDE 03  ·  AUTHENTICATION</w:t>
      </w:r>
    </w:p>
    <w:p>
      <w:pPr>
        <w:pStyle w:val="Heading1"/>
      </w:pPr>
      <w:r>
        <w:rPr>
          <w:rFonts w:ascii="Calibri" w:hAnsi="Calibri"/>
          <w:b/>
          <w:color w:val="2E74B5"/>
          <w:sz w:val="32"/>
        </w:rPr>
        <w:t>Auth proves identity. RLS grants access.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Separate authentication from authorization and explain what middleware or a server-side session helper should—and should not—do.</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6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Sign-in produces a JWT; middleware refreshes the server session; Postgres makes the final RLS decision.</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Switch auth/server states and follow the request from browser to middleware to database.</w:t>
            </w:r>
          </w:p>
        </w:tc>
      </w:tr>
    </w:tbl>
    <w:p>
      <w:pPr>
        <w:pStyle w:val="Heading2"/>
      </w:pPr>
      <w:r>
        <w:rPr>
          <w:rFonts w:ascii="Calibri" w:hAnsi="Calibri"/>
          <w:b/>
          <w:color w:val="2E74B5"/>
          <w:sz w:val="26"/>
        </w:rPr>
        <w:t>Suggested talk track</w:t>
      </w:r>
    </w:p>
    <w:p>
      <w:r>
        <w:rPr>
          <w:rFonts w:ascii="Calibri" w:hAnsi="Calibri"/>
          <w:color w:val="161A22"/>
          <w:sz w:val="22"/>
        </w:rPr>
        <w:t>Supabase Auth signs the user in and returns a session containing a JWT. The JWT tells Supabase who the caller is. In server-rendered frameworks, middleware or a proxy refreshes expiring sessions and keeps cookies synchronized before the page or route handler runs. Middleware can redirect unauthenticated users for a better experience, but it is not the final data-security check. Every query should still reach a table protected by RLS, where auth.uid() is compared with row ownership or another rule.</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Authentication answers “Who are you?”; authorization answers “May you do this?”</w:t>
      </w:r>
    </w:p>
    <w:p>
      <w:pPr>
        <w:numPr>
          <w:ilvl w:val="0"/>
          <w:numId w:val="10"/>
        </w:numPr>
      </w:pPr>
      <w:r>
        <w:rPr>
          <w:rFonts w:ascii="Calibri" w:hAnsi="Calibri"/>
          <w:color w:val="161A22"/>
          <w:sz w:val="22"/>
        </w:rPr>
        <w:t>Middleware keeps server-rendered sessions fresh and improves routing behavior.</w:t>
      </w:r>
    </w:p>
    <w:p>
      <w:pPr>
        <w:numPr>
          <w:ilvl w:val="0"/>
          <w:numId w:val="10"/>
        </w:numPr>
      </w:pPr>
      <w:r>
        <w:rPr>
          <w:rFonts w:ascii="Calibri" w:hAnsi="Calibri"/>
          <w:color w:val="161A22"/>
          <w:sz w:val="22"/>
        </w:rPr>
        <w:t>RLS remains the final guard even when route middleware is present.</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Never rely only on a client redirect or middleware path check to protect private rows. Direct API requests must still be denied by RLS.</w:t>
            </w:r>
          </w:p>
        </w:tc>
      </w:tr>
    </w:tbl>
    <w:p>
      <w:pPr>
        <w:spacing w:before="140" w:after="0"/>
      </w:pPr>
      <w:r>
        <w:rPr>
          <w:rFonts w:ascii="Calibri" w:hAnsi="Calibri"/>
          <w:b/>
          <w:color w:val="5E6673"/>
          <w:sz w:val="19"/>
        </w:rPr>
        <w:t xml:space="preserve">Transition: </w:t>
      </w:r>
      <w:r>
        <w:rPr>
          <w:rFonts w:ascii="Calibri" w:hAnsi="Calibri"/>
          <w:b w:val="0"/>
          <w:i/>
          <w:color w:val="5E6673"/>
          <w:sz w:val="19"/>
        </w:rPr>
        <w:t>Now compare how many moving parts an integrated platform removes.</w:t>
      </w:r>
    </w:p>
    <w:p>
      <w:r>
        <w:br w:type="page"/>
      </w:r>
    </w:p>
    <w:p>
      <w:pPr>
        <w:spacing w:after="80"/>
      </w:pPr>
      <w:r>
        <w:rPr>
          <w:rFonts w:ascii="Calibri" w:hAnsi="Calibri"/>
          <w:b/>
          <w:color w:val="149D6E"/>
          <w:sz w:val="18"/>
        </w:rPr>
        <w:t>SLIDE 04  ·  ARCHITECTURE COMPARISON</w:t>
      </w:r>
    </w:p>
    <w:p>
      <w:pPr>
        <w:pStyle w:val="Heading1"/>
      </w:pPr>
      <w:r>
        <w:rPr>
          <w:rFonts w:ascii="Calibri" w:hAnsi="Calibri"/>
          <w:b/>
          <w:color w:val="2E74B5"/>
          <w:sz w:val="32"/>
        </w:rPr>
        <w:t>Same product. Less to wire together.</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Show the practical speed advantage without claiming every product should use the same architecture.</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3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A switch between a traditional stack of separate services and an integrated Supabase stack.</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Toggle Traditional and Supabase; ask the room to identify each integration boundary that disappears.</w:t>
            </w:r>
          </w:p>
        </w:tc>
      </w:tr>
    </w:tbl>
    <w:p>
      <w:pPr>
        <w:pStyle w:val="Heading2"/>
      </w:pPr>
      <w:r>
        <w:rPr>
          <w:rFonts w:ascii="Calibri" w:hAnsi="Calibri"/>
          <w:b/>
          <w:color w:val="2E74B5"/>
          <w:sz w:val="26"/>
        </w:rPr>
        <w:t>Suggested talk track</w:t>
      </w:r>
    </w:p>
    <w:p>
      <w:r>
        <w:rPr>
          <w:rFonts w:ascii="Calibri" w:hAnsi="Calibri"/>
          <w:color w:val="161A22"/>
          <w:sz w:val="22"/>
        </w:rPr>
        <w:t>A conventional setup can be perfectly valid, especially when a company already has infrastructure standards. The MVP advantage of Supabase is that database, generated APIs, authentication, file storage, realtime, and operational tools share one project model. That reduces credentials, SDKs, webhooks, dashboards, deployment steps, and failure points during early validation.</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Fewer integrations usually mean faster iteration and simpler local development.</w:t>
      </w:r>
    </w:p>
    <w:p>
      <w:pPr>
        <w:numPr>
          <w:ilvl w:val="0"/>
          <w:numId w:val="10"/>
        </w:numPr>
      </w:pPr>
      <w:r>
        <w:rPr>
          <w:rFonts w:ascii="Calibri" w:hAnsi="Calibri"/>
          <w:color w:val="161A22"/>
          <w:sz w:val="22"/>
        </w:rPr>
        <w:t>The app still owns domain logic, validation, schema quality, and user experience.</w:t>
      </w:r>
    </w:p>
    <w:p>
      <w:pPr>
        <w:numPr>
          <w:ilvl w:val="0"/>
          <w:numId w:val="10"/>
        </w:numPr>
      </w:pPr>
      <w:r>
        <w:rPr>
          <w:rFonts w:ascii="Calibri" w:hAnsi="Calibri"/>
          <w:color w:val="161A22"/>
          <w:sz w:val="22"/>
        </w:rPr>
        <w:t>Choose Supabase for speed and coherence, not because separate services are wrong.</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Avoid turning this into a vendor scorecard. The point is reduced integration overhead for MVP learning.</w:t>
            </w:r>
          </w:p>
        </w:tc>
      </w:tr>
    </w:tbl>
    <w:p>
      <w:pPr>
        <w:spacing w:before="140" w:after="0"/>
      </w:pPr>
      <w:r>
        <w:rPr>
          <w:rFonts w:ascii="Calibri" w:hAnsi="Calibri"/>
          <w:b/>
          <w:color w:val="5E6673"/>
          <w:sz w:val="19"/>
        </w:rPr>
        <w:t xml:space="preserve">Transition: </w:t>
      </w:r>
      <w:r>
        <w:rPr>
          <w:rFonts w:ascii="Calibri" w:hAnsi="Calibri"/>
          <w:b w:val="0"/>
          <w:i/>
          <w:color w:val="5E6673"/>
          <w:sz w:val="19"/>
        </w:rPr>
        <w:t>The biggest shortcut appears when a table immediately becomes an API.</w:t>
      </w:r>
    </w:p>
    <w:p>
      <w:r>
        <w:br w:type="page"/>
      </w:r>
    </w:p>
    <w:p>
      <w:pPr>
        <w:spacing w:after="80"/>
      </w:pPr>
      <w:r>
        <w:rPr>
          <w:rFonts w:ascii="Calibri" w:hAnsi="Calibri"/>
          <w:b/>
          <w:color w:val="149D6E"/>
          <w:sz w:val="18"/>
        </w:rPr>
        <w:t>SLIDE 05  ·  DATABASE + DATA API</w:t>
      </w:r>
    </w:p>
    <w:p>
      <w:pPr>
        <w:pStyle w:val="Heading1"/>
      </w:pPr>
      <w:r>
        <w:rPr>
          <w:rFonts w:ascii="Calibri" w:hAnsi="Calibri"/>
          <w:b/>
          <w:color w:val="2E74B5"/>
          <w:sz w:val="32"/>
        </w:rPr>
        <w:t>One table becomes an API endpoint—without writing a controller.</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Explain exactly what the JavaScript SDK does and why the generated API is useful for MVP work.</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5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JavaScript SDK → Data API plus RLS → Postgres rows, with the equivalent REST request and a live result table.</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Click “Run live query.” Preview data is replaced by rows returned by the real Supabase project.</w:t>
            </w:r>
          </w:p>
        </w:tc>
      </w:tr>
    </w:tbl>
    <w:p>
      <w:pPr>
        <w:pStyle w:val="Heading2"/>
      </w:pPr>
      <w:r>
        <w:rPr>
          <w:rFonts w:ascii="Calibri" w:hAnsi="Calibri"/>
          <w:b/>
          <w:color w:val="2E74B5"/>
          <w:sz w:val="26"/>
        </w:rPr>
        <w:t>Suggested talk track</w:t>
      </w:r>
    </w:p>
    <w:p>
      <w:r>
        <w:rPr>
          <w:rFonts w:ascii="Calibri" w:hAnsi="Calibri"/>
          <w:color w:val="161A22"/>
          <w:sz w:val="22"/>
        </w:rPr>
        <w:t>The mvp_ideas table is ordinary Postgres. Supabase reflects its schema into the Data API. The SDK call .from("mvp_ideas") selects the table, .select(...) chooses columns, and .order(...) asks Postgres to sort. Under the hood this becomes an HTTPS request such as GET /rest/v1/mvp_ideas with query parameters. Supabase validates the client and current user, applies RLS, executes the operation in Postgres, and returns JSON. No custom controller is required for straightforward CRUD, yet the database remains fully accessible through SQL and migrations.</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The SDK is a readable request builder; it does not replace the database.</w:t>
      </w:r>
    </w:p>
    <w:p>
      <w:pPr>
        <w:numPr>
          <w:ilvl w:val="0"/>
          <w:numId w:val="10"/>
        </w:numPr>
      </w:pPr>
      <w:r>
        <w:rPr>
          <w:rFonts w:ascii="Calibri" w:hAnsi="Calibri"/>
          <w:color w:val="161A22"/>
          <w:sz w:val="22"/>
        </w:rPr>
        <w:t>Schema changes affect the generated API surface, so migrations and review still matter.</w:t>
      </w:r>
    </w:p>
    <w:p>
      <w:pPr>
        <w:numPr>
          <w:ilvl w:val="0"/>
          <w:numId w:val="10"/>
        </w:numPr>
      </w:pPr>
      <w:r>
        <w:rPr>
          <w:rFonts w:ascii="Calibri" w:hAnsi="Calibri"/>
          <w:color w:val="161A22"/>
          <w:sz w:val="22"/>
        </w:rPr>
        <w:t>RLS is evaluated before rows are returned through the SDK or REST.</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A generated API does not mean every query should be exposed. Select required columns, index common queries, paginate, and protect tables with RLS.</w:t>
            </w:r>
          </w:p>
        </w:tc>
      </w:tr>
    </w:tbl>
    <w:p>
      <w:pPr>
        <w:spacing w:before="140" w:after="0"/>
      </w:pPr>
      <w:r>
        <w:rPr>
          <w:rFonts w:ascii="Calibri" w:hAnsi="Calibri"/>
          <w:b/>
          <w:color w:val="5E6673"/>
          <w:sz w:val="19"/>
        </w:rPr>
        <w:t xml:space="preserve">Transition: </w:t>
      </w:r>
      <w:r>
        <w:rPr>
          <w:rFonts w:ascii="Calibri" w:hAnsi="Calibri"/>
          <w:b w:val="0"/>
          <w:i/>
          <w:color w:val="5E6673"/>
          <w:sz w:val="19"/>
        </w:rPr>
        <w:t>If the API is generated automatically, policies must define access.</w:t>
      </w:r>
    </w:p>
    <w:p>
      <w:r>
        <w:br w:type="page"/>
      </w:r>
    </w:p>
    <w:p>
      <w:pPr>
        <w:spacing w:after="80"/>
      </w:pPr>
      <w:r>
        <w:rPr>
          <w:rFonts w:ascii="Calibri" w:hAnsi="Calibri"/>
          <w:b/>
          <w:color w:val="149D6E"/>
          <w:sz w:val="18"/>
        </w:rPr>
        <w:t>SLIDE 06  ·  ROW LEVEL SECURITY</w:t>
      </w:r>
    </w:p>
    <w:p>
      <w:pPr>
        <w:pStyle w:val="Heading1"/>
      </w:pPr>
      <w:r>
        <w:rPr>
          <w:rFonts w:ascii="Calibri" w:hAnsi="Calibri"/>
          <w:b/>
          <w:color w:val="2E74B5"/>
          <w:sz w:val="32"/>
        </w:rPr>
        <w:t>A policy answers: who can do what to which rows?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Make RLS concrete by connecting an operation, a user identity, and a row predicate.</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5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Alice/Bob personas, operation tabs, a policy expression, and result rows that change when RLS is enabled.</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Switch personas and SELECT/INSERT/UPDATE/DELETE; toggle RLS to reveal the difference between a key and row authorization.</w:t>
            </w:r>
          </w:p>
        </w:tc>
      </w:tr>
    </w:tbl>
    <w:p>
      <w:pPr>
        <w:pStyle w:val="Heading2"/>
      </w:pPr>
      <w:r>
        <w:rPr>
          <w:rFonts w:ascii="Calibri" w:hAnsi="Calibri"/>
          <w:b/>
          <w:color w:val="2E74B5"/>
          <w:sz w:val="26"/>
        </w:rPr>
        <w:t>Suggested talk track</w:t>
      </w:r>
    </w:p>
    <w:p>
      <w:r>
        <w:rPr>
          <w:rFonts w:ascii="Calibri" w:hAnsi="Calibri"/>
          <w:color w:val="161A22"/>
          <w:sz w:val="22"/>
        </w:rPr>
        <w:t>Enable RLS on tables exposed through the API, then write a policy for each allowed operation. SELECT uses USING to decide which existing rows can be read. INSERT uses WITH CHECK to validate the new row. UPDATE may need both USING and WITH CHECK. DELETE uses USING. A common ownership pattern is auth.uid() = user_id. Because the rule runs in Postgres, it applies consistently across browser, mobile, and other API clients using the same role.</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Policies are allow rules: access is denied unless an applicable policy permits it.</w:t>
      </w:r>
    </w:p>
    <w:p>
      <w:pPr>
        <w:numPr>
          <w:ilvl w:val="0"/>
          <w:numId w:val="10"/>
        </w:numPr>
      </w:pPr>
      <w:r>
        <w:rPr>
          <w:rFonts w:ascii="Calibri" w:hAnsi="Calibri"/>
          <w:color w:val="161A22"/>
          <w:sz w:val="22"/>
        </w:rPr>
        <w:t>USING filters existing rows; WITH CHECK validates proposed rows.</w:t>
      </w:r>
    </w:p>
    <w:p>
      <w:pPr>
        <w:numPr>
          <w:ilvl w:val="0"/>
          <w:numId w:val="10"/>
        </w:numPr>
      </w:pPr>
      <w:r>
        <w:rPr>
          <w:rFonts w:ascii="Calibri" w:hAnsi="Calibri"/>
          <w:color w:val="161A22"/>
          <w:sz w:val="22"/>
        </w:rPr>
        <w:t>Test policies as anon and authenticated users, not only in the privileged SQL Editor.</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The SQL Editor and service-role clients can bypass normal RLS behavior. Always test through a real client role.</w:t>
            </w:r>
          </w:p>
        </w:tc>
      </w:tr>
    </w:tbl>
    <w:p>
      <w:pPr>
        <w:spacing w:before="140" w:after="0"/>
      </w:pPr>
      <w:r>
        <w:rPr>
          <w:rFonts w:ascii="Calibri" w:hAnsi="Calibri"/>
          <w:b/>
          <w:color w:val="5E6673"/>
          <w:sz w:val="19"/>
        </w:rPr>
        <w:t xml:space="preserve">Transition: </w:t>
      </w:r>
      <w:r>
        <w:rPr>
          <w:rFonts w:ascii="Calibri" w:hAnsi="Calibri"/>
          <w:b w:val="0"/>
          <w:i/>
          <w:color w:val="5E6673"/>
          <w:sz w:val="19"/>
        </w:rPr>
        <w:t>Policies protect data; the next slide shows the small SQL toolkit that shapes it.</w:t>
      </w:r>
    </w:p>
    <w:p>
      <w:r>
        <w:br w:type="page"/>
      </w:r>
    </w:p>
    <w:p>
      <w:pPr>
        <w:spacing w:after="80"/>
      </w:pPr>
      <w:r>
        <w:rPr>
          <w:rFonts w:ascii="Calibri" w:hAnsi="Calibri"/>
          <w:b/>
          <w:color w:val="149D6E"/>
          <w:sz w:val="18"/>
        </w:rPr>
        <w:t>SLIDE 07  ·  EVERYDAY SQL</w:t>
      </w:r>
    </w:p>
    <w:p>
      <w:pPr>
        <w:pStyle w:val="Heading1"/>
      </w:pPr>
      <w:r>
        <w:rPr>
          <w:rFonts w:ascii="Calibri" w:hAnsi="Calibri"/>
          <w:b/>
          <w:color w:val="2E74B5"/>
          <w:sz w:val="32"/>
        </w:rPr>
        <w:t>See exactly what each SQL command changes.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Teach essential data operations through a safe simulator and provide reusable production SQL patterns.</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6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A todos-table simulator for INSERT, UPDATE, UPSERT, DELETE plus recipes for schema, RLS, queries, and updated_at.</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Run each simulated command and watch before/after counts and highlighted rows; then inspect one or two recipes.</w:t>
            </w:r>
          </w:p>
        </w:tc>
      </w:tr>
    </w:tbl>
    <w:p>
      <w:pPr>
        <w:pStyle w:val="Heading2"/>
      </w:pPr>
      <w:r>
        <w:rPr>
          <w:rFonts w:ascii="Calibri" w:hAnsi="Calibri"/>
          <w:b/>
          <w:color w:val="2E74B5"/>
          <w:sz w:val="26"/>
        </w:rPr>
        <w:t>Suggested talk track</w:t>
      </w:r>
    </w:p>
    <w:p>
      <w:r>
        <w:rPr>
          <w:rFonts w:ascii="Calibri" w:hAnsi="Calibri"/>
          <w:color w:val="161A22"/>
          <w:sz w:val="22"/>
        </w:rPr>
        <w:t>INSERT creates rows. UPDATE changes matching rows and should have an intentional WHERE clause. UPSERT inserts or updates when a declared unique conflict occurs. DELETE removes matching rows and deserves the same caution as UPDATE. The recipe view adds primary keys, timestamps, indexes, ownership policies, conflict handling, and an updated_at trigger. Put schema changes in migrations so teams can review and reproduce them.</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A small set of SQL operations covers most MVP data work.</w:t>
      </w:r>
    </w:p>
    <w:p>
      <w:pPr>
        <w:numPr>
          <w:ilvl w:val="0"/>
          <w:numId w:val="10"/>
        </w:numPr>
      </w:pPr>
      <w:r>
        <w:rPr>
          <w:rFonts w:ascii="Calibri" w:hAnsi="Calibri"/>
          <w:color w:val="161A22"/>
          <w:sz w:val="22"/>
        </w:rPr>
        <w:t>Indexes should follow frequent filters, joins, uniqueness rules, and ordering.</w:t>
      </w:r>
    </w:p>
    <w:p>
      <w:pPr>
        <w:numPr>
          <w:ilvl w:val="0"/>
          <w:numId w:val="10"/>
        </w:numPr>
      </w:pPr>
      <w:r>
        <w:rPr>
          <w:rFonts w:ascii="Calibri" w:hAnsi="Calibri"/>
          <w:color w:val="161A22"/>
          <w:sz w:val="22"/>
        </w:rPr>
        <w:t>Use migrations and representative test data before production.</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The simulator is local and non-destructive. Copied SQL can change the real project, so review names, predicates, and rollback plans first.</w:t>
            </w:r>
          </w:p>
        </w:tc>
      </w:tr>
    </w:tbl>
    <w:p>
      <w:pPr>
        <w:spacing w:before="140" w:after="0"/>
      </w:pPr>
      <w:r>
        <w:rPr>
          <w:rFonts w:ascii="Calibri" w:hAnsi="Calibri"/>
          <w:b/>
          <w:color w:val="5E6673"/>
          <w:sz w:val="19"/>
        </w:rPr>
        <w:t xml:space="preserve">Transition: </w:t>
      </w:r>
      <w:r>
        <w:rPr>
          <w:rFonts w:ascii="Calibri" w:hAnsi="Calibri"/>
          <w:b w:val="0"/>
          <w:i/>
          <w:color w:val="5E6673"/>
          <w:sz w:val="19"/>
        </w:rPr>
        <w:t>Rows are only half the story; many MVPs also need files.</w:t>
      </w:r>
    </w:p>
    <w:p>
      <w:r>
        <w:br w:type="page"/>
      </w:r>
    </w:p>
    <w:p>
      <w:pPr>
        <w:spacing w:after="80"/>
      </w:pPr>
      <w:r>
        <w:rPr>
          <w:rFonts w:ascii="Calibri" w:hAnsi="Calibri"/>
          <w:b/>
          <w:color w:val="149D6E"/>
          <w:sz w:val="18"/>
        </w:rPr>
        <w:t>SLIDE 08  ·  STORAGE</w:t>
      </w:r>
    </w:p>
    <w:p>
      <w:pPr>
        <w:pStyle w:val="Heading1"/>
      </w:pPr>
      <w:r>
        <w:rPr>
          <w:rFonts w:ascii="Calibri" w:hAnsi="Calibri"/>
          <w:b/>
          <w:color w:val="2E74B5"/>
          <w:sz w:val="32"/>
        </w:rPr>
        <w:t>Files live in buckets. Access lives in policies.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Explain file bytes, object metadata, bucket visibility, and Storage RLS policies.</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4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A private evidence bucket, user-organized paths, operation tabs, and the required policy.</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Change Upload, Download, Replace, and Delete; observe the policy verb and predicate.</w:t>
            </w:r>
          </w:p>
        </w:tc>
      </w:tr>
    </w:tbl>
    <w:p>
      <w:pPr>
        <w:pStyle w:val="Heading2"/>
      </w:pPr>
      <w:r>
        <w:rPr>
          <w:rFonts w:ascii="Calibri" w:hAnsi="Calibri"/>
          <w:b/>
          <w:color w:val="2E74B5"/>
          <w:sz w:val="26"/>
        </w:rPr>
        <w:t>Suggested talk track</w:t>
      </w:r>
    </w:p>
    <w:p>
      <w:r>
        <w:rPr>
          <w:rFonts w:ascii="Calibri" w:hAnsi="Calibri"/>
          <w:color w:val="161A22"/>
          <w:sz w:val="22"/>
        </w:rPr>
        <w:t>Supabase Storage keeps file bytes in object storage while metadata is represented in storage.objects. Policies on storage.objects control upload, list, download, replace, and delete. Paths beginning with a user ID make ownership policies easier to express. A public bucket changes download visibility; it does not automatically grant everyone permission to upload, overwrite, or delete objects.</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Use private buckets for user documents and sensitive media.</w:t>
      </w:r>
    </w:p>
    <w:p>
      <w:pPr>
        <w:numPr>
          <w:ilvl w:val="0"/>
          <w:numId w:val="10"/>
        </w:numPr>
      </w:pPr>
      <w:r>
        <w:rPr>
          <w:rFonts w:ascii="Calibri" w:hAnsi="Calibri"/>
          <w:color w:val="161A22"/>
          <w:sz w:val="22"/>
        </w:rPr>
        <w:t>Use public buckets only for assets anyone with the URL may download.</w:t>
      </w:r>
    </w:p>
    <w:p>
      <w:pPr>
        <w:numPr>
          <w:ilvl w:val="0"/>
          <w:numId w:val="10"/>
        </w:numPr>
      </w:pPr>
      <w:r>
        <w:rPr>
          <w:rFonts w:ascii="Calibri" w:hAnsi="Calibri"/>
          <w:color w:val="161A22"/>
          <w:sz w:val="22"/>
        </w:rPr>
        <w:t>Write separate policies for each operation the app needs.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A public bucket is not a public write bucket. Upload, update, and delete remain policy decisions.</w:t>
            </w:r>
          </w:p>
        </w:tc>
      </w:tr>
    </w:tbl>
    <w:p>
      <w:pPr>
        <w:spacing w:before="140" w:after="0"/>
      </w:pPr>
      <w:r>
        <w:rPr>
          <w:rFonts w:ascii="Calibri" w:hAnsi="Calibri"/>
          <w:b/>
          <w:color w:val="5E6673"/>
          <w:sz w:val="19"/>
        </w:rPr>
        <w:t xml:space="preserve">Transition: </w:t>
      </w:r>
      <w:r>
        <w:rPr>
          <w:rFonts w:ascii="Calibri" w:hAnsi="Calibri"/>
          <w:b w:val="0"/>
          <w:i/>
          <w:color w:val="5E6673"/>
          <w:sz w:val="19"/>
        </w:rPr>
        <w:t>Once a file is allowed, the CDN determines how efficiently bytes reach the user.</w:t>
      </w:r>
    </w:p>
    <w:p>
      <w:r>
        <w:br w:type="page"/>
      </w:r>
    </w:p>
    <w:p>
      <w:pPr>
        <w:spacing w:after="80"/>
      </w:pPr>
      <w:r>
        <w:rPr>
          <w:rFonts w:ascii="Calibri" w:hAnsi="Calibri"/>
          <w:b/>
          <w:color w:val="149D6E"/>
          <w:sz w:val="18"/>
        </w:rPr>
        <w:t>SLIDE 09  ·  STORAGE CDN</w:t>
      </w:r>
    </w:p>
    <w:p>
      <w:pPr>
        <w:pStyle w:val="Heading1"/>
      </w:pPr>
      <w:r>
        <w:rPr>
          <w:rFonts w:ascii="Calibri" w:hAnsi="Calibri"/>
          <w:b/>
          <w:color w:val="2E74B5"/>
          <w:sz w:val="32"/>
        </w:rPr>
        <w:t>Public and private files take visibly different delivery paths.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Correct the misconception that public and private Storage behave identically because both use a CDN.</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5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Public: browser → shared CDN cache → Storage origin. Private: browser with JWT/signed URL → CDN → access check → origin.</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Run first and repeat requests in each mode; compare MISS/FETCHED with HIT/NOT CONTACTED and observe the private auth gate.</w:t>
            </w:r>
          </w:p>
        </w:tc>
      </w:tr>
    </w:tbl>
    <w:p>
      <w:pPr>
        <w:pStyle w:val="Heading2"/>
      </w:pPr>
      <w:r>
        <w:rPr>
          <w:rFonts w:ascii="Calibri" w:hAnsi="Calibri"/>
          <w:b/>
          <w:color w:val="2E74B5"/>
          <w:sz w:val="26"/>
        </w:rPr>
        <w:t>Suggested talk track</w:t>
      </w:r>
    </w:p>
    <w:p>
      <w:r>
        <w:rPr>
          <w:rFonts w:ascii="Calibri" w:hAnsi="Calibri"/>
          <w:color w:val="161A22"/>
          <w:sz w:val="22"/>
        </w:rPr>
        <w:t>Both public and private files benefit from edge delivery. For a public object, anyone with the URL may download it and many visitors can reuse one cached response. The first request to a cold edge fetches the origin; a repeat can be served by the edge. A private object must carry a user JWT or time-limited signed URL. Even when bytes are eligible for a cache hit, the request remains tied to an authorization context. Private delivery trades some shared-cache simplicity for access control.</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A cache miss contacts the Storage origin; a hit can avoid it.</w:t>
      </w:r>
    </w:p>
    <w:p>
      <w:pPr>
        <w:numPr>
          <w:ilvl w:val="0"/>
          <w:numId w:val="10"/>
        </w:numPr>
      </w:pPr>
      <w:r>
        <w:rPr>
          <w:rFonts w:ascii="Calibri" w:hAnsi="Calibri"/>
          <w:color w:val="161A22"/>
          <w:sz w:val="22"/>
        </w:rPr>
        <w:t>Public URLs maximize shared reuse but must never expose sensitive files.</w:t>
      </w:r>
    </w:p>
    <w:p>
      <w:pPr>
        <w:numPr>
          <w:ilvl w:val="0"/>
          <w:numId w:val="10"/>
        </w:numPr>
      </w:pPr>
      <w:r>
        <w:rPr>
          <w:rFonts w:ascii="Calibri" w:hAnsi="Calibri"/>
          <w:color w:val="161A22"/>
          <w:sz w:val="22"/>
        </w:rPr>
        <w:t>Private requests require authorization even when the origin is bypassed on repeat delivery.</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Real caching varies by headers, object state, region, and delivery mode. Present the animation as a conceptual path, not a timing guarantee.</w:t>
            </w:r>
          </w:p>
        </w:tc>
      </w:tr>
    </w:tbl>
    <w:p>
      <w:pPr>
        <w:spacing w:before="140" w:after="0"/>
      </w:pPr>
      <w:r>
        <w:rPr>
          <w:rFonts w:ascii="Calibri" w:hAnsi="Calibri"/>
          <w:b/>
          <w:color w:val="5E6673"/>
          <w:sz w:val="19"/>
        </w:rPr>
        <w:t xml:space="preserve">Transition: </w:t>
      </w:r>
      <w:r>
        <w:rPr>
          <w:rFonts w:ascii="Calibri" w:hAnsi="Calibri"/>
          <w:b w:val="0"/>
          <w:i/>
          <w:color w:val="5E6673"/>
          <w:sz w:val="19"/>
        </w:rPr>
        <w:t>The platform can also perform work without a user click.</w:t>
      </w:r>
    </w:p>
    <w:p>
      <w:r>
        <w:br w:type="page"/>
      </w:r>
    </w:p>
    <w:p>
      <w:pPr>
        <w:spacing w:after="80"/>
      </w:pPr>
      <w:r>
        <w:rPr>
          <w:rFonts w:ascii="Calibri" w:hAnsi="Calibri"/>
          <w:b/>
          <w:color w:val="149D6E"/>
          <w:sz w:val="18"/>
        </w:rPr>
        <w:t>SLIDE 10  ·  CRON JOBS</w:t>
      </w:r>
    </w:p>
    <w:p>
      <w:pPr>
        <w:pStyle w:val="Heading1"/>
      </w:pPr>
      <w:r>
        <w:rPr>
          <w:rFonts w:ascii="Calibri" w:hAnsi="Calibri"/>
          <w:b/>
          <w:color w:val="2E74B5"/>
          <w:sz w:val="32"/>
        </w:rPr>
        <w:t>Let Postgres do the recurring work.</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Show when scheduled database work is simpler than adding a separate task service.</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4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Schedule presets, cron expression, cron.schedule SQL, a demo run, and recent job history.</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Choose Hourly, Nightly, Weekly, or Monthly; run the demo and inspect the simulated history.</w:t>
            </w:r>
          </w:p>
        </w:tc>
      </w:tr>
    </w:tbl>
    <w:p>
      <w:pPr>
        <w:pStyle w:val="Heading2"/>
      </w:pPr>
      <w:r>
        <w:rPr>
          <w:rFonts w:ascii="Calibri" w:hAnsi="Calibri"/>
          <w:b/>
          <w:color w:val="2E74B5"/>
          <w:sz w:val="26"/>
        </w:rPr>
        <w:t>Suggested talk track</w:t>
      </w:r>
    </w:p>
    <w:p>
      <w:r>
        <w:rPr>
          <w:rFonts w:ascii="Calibri" w:hAnsi="Calibri"/>
          <w:color w:val="161A22"/>
          <w:sz w:val="22"/>
        </w:rPr>
        <w:t>Supabase Cron is based on pg_cron. It can schedule SQL, database functions, HTTP calls, or Edge Functions. Common MVP jobs include expiring sessions, sending reminder batches, rolling up analytics, refreshing views, or cleaning temporary records. Give each job a stable name, make it safe to retry, record failures, and keep execution bounded. The Dashboard and cron.job_run_details help inspect history.</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Use Cron when work must recur on a predictable schedule.</w:t>
      </w:r>
    </w:p>
    <w:p>
      <w:pPr>
        <w:numPr>
          <w:ilvl w:val="0"/>
          <w:numId w:val="10"/>
        </w:numPr>
      </w:pPr>
      <w:r>
        <w:rPr>
          <w:rFonts w:ascii="Calibri" w:hAnsi="Calibri"/>
          <w:color w:val="161A22"/>
          <w:sz w:val="22"/>
        </w:rPr>
        <w:t>Prefer idempotent jobs so retries do not duplicate side effects.</w:t>
      </w:r>
    </w:p>
    <w:p>
      <w:pPr>
        <w:numPr>
          <w:ilvl w:val="0"/>
          <w:numId w:val="10"/>
        </w:numPr>
      </w:pPr>
      <w:r>
        <w:rPr>
          <w:rFonts w:ascii="Calibri" w:hAnsi="Calibri"/>
          <w:color w:val="161A22"/>
          <w:sz w:val="22"/>
        </w:rPr>
        <w:t>Monitor run history and failures instead of assuming success.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Move long-running, highly concurrent, or fragile workflows to Edge Functions or a queue/workflow system.</w:t>
            </w:r>
          </w:p>
        </w:tc>
      </w:tr>
    </w:tbl>
    <w:p>
      <w:pPr>
        <w:spacing w:before="140" w:after="0"/>
      </w:pPr>
      <w:r>
        <w:rPr>
          <w:rFonts w:ascii="Calibri" w:hAnsi="Calibri"/>
          <w:b/>
          <w:color w:val="5E6673"/>
          <w:sz w:val="19"/>
        </w:rPr>
        <w:t xml:space="preserve">Transition: </w:t>
      </w:r>
      <w:r>
        <w:rPr>
          <w:rFonts w:ascii="Calibri" w:hAnsi="Calibri"/>
          <w:b w:val="0"/>
          <w:i/>
          <w:color w:val="5E6673"/>
          <w:sz w:val="19"/>
        </w:rPr>
        <w:t>Scheduling automates repetition; AI can accelerate development or product intelligence.</w:t>
      </w:r>
    </w:p>
    <w:p>
      <w:r>
        <w:br w:type="page"/>
      </w:r>
    </w:p>
    <w:p>
      <w:pPr>
        <w:spacing w:after="80"/>
      </w:pPr>
      <w:r>
        <w:rPr>
          <w:rFonts w:ascii="Calibri" w:hAnsi="Calibri"/>
          <w:b/>
          <w:color w:val="149D6E"/>
          <w:sz w:val="18"/>
        </w:rPr>
        <w:t>SLIDE 11  ·  AI + AGENTIC DEVELOPMENT</w:t>
      </w:r>
    </w:p>
    <w:p>
      <w:pPr>
        <w:pStyle w:val="Heading1"/>
      </w:pPr>
      <w:r>
        <w:rPr>
          <w:rFonts w:ascii="Calibri" w:hAnsi="Calibri"/>
          <w:b/>
          <w:color w:val="2E74B5"/>
          <w:sz w:val="32"/>
        </w:rPr>
        <w:t>Supabase gives AI tools context—and your app an AI-ready backend.</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Separate developer-facing agentic tools from AI features built into an end-user product.</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5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Developer view: coding agent → Supabase MCP → project. Product view: pgvector, Edge Functions, embeddings, and product MCP.</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Toggle “Build with AI agents” and “Build AI into a product”; ask which side matches the audience’s need.</w:t>
            </w:r>
          </w:p>
        </w:tc>
      </w:tr>
    </w:tbl>
    <w:p>
      <w:pPr>
        <w:pStyle w:val="Heading2"/>
      </w:pPr>
      <w:r>
        <w:rPr>
          <w:rFonts w:ascii="Calibri" w:hAnsi="Calibri"/>
          <w:b/>
          <w:color w:val="2E74B5"/>
          <w:sz w:val="26"/>
        </w:rPr>
        <w:t>Suggested talk track</w:t>
      </w:r>
    </w:p>
    <w:p>
      <w:r>
        <w:rPr>
          <w:rFonts w:ascii="Calibri" w:hAnsi="Calibri"/>
          <w:color w:val="161A22"/>
          <w:sz w:val="22"/>
        </w:rPr>
        <w:t>For development, the Supabase MCP server can give an AI coding agent project-aware tools and context such as schema, SQL, migrations, and logs. Treat that as developer access, not customer access: use a development project, project scope, read-only mode where possible, and human review. For product AI, Supabase supplies infrastructure rather than a general chat model: pgvector for semantic search and RAG, Edge Functions for external models while protecting keys, supported embeddings in the Edge Runtime, and the ability to expose product tools through your own MCP server.</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Agentic development needs explicit scope, least privilege, and human review.</w:t>
      </w:r>
    </w:p>
    <w:p>
      <w:pPr>
        <w:numPr>
          <w:ilvl w:val="0"/>
          <w:numId w:val="10"/>
        </w:numPr>
      </w:pPr>
      <w:r>
        <w:rPr>
          <w:rFonts w:ascii="Calibri" w:hAnsi="Calibri"/>
          <w:color w:val="161A22"/>
          <w:sz w:val="22"/>
        </w:rPr>
        <w:t>Supabase is an AI-ready backend; most generation still comes from an external model.</w:t>
      </w:r>
    </w:p>
    <w:p>
      <w:pPr>
        <w:numPr>
          <w:ilvl w:val="0"/>
          <w:numId w:val="10"/>
        </w:numPr>
      </w:pPr>
      <w:r>
        <w:rPr>
          <w:rFonts w:ascii="Calibri" w:hAnsi="Calibri"/>
          <w:color w:val="161A22"/>
          <w:sz w:val="22"/>
        </w:rPr>
        <w:t>Keep model provider keys in server-side functions, never the browser.</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Never connect a broadly empowered development agent to sensitive production data or expose developer MCP tools to end users.</w:t>
            </w:r>
          </w:p>
        </w:tc>
      </w:tr>
    </w:tbl>
    <w:p>
      <w:pPr>
        <w:spacing w:before="140" w:after="0"/>
      </w:pPr>
      <w:r>
        <w:rPr>
          <w:rFonts w:ascii="Calibri" w:hAnsi="Calibri"/>
          <w:b/>
          <w:color w:val="5E6673"/>
          <w:sz w:val="19"/>
        </w:rPr>
        <w:t xml:space="preserve">Transition: </w:t>
      </w:r>
      <w:r>
        <w:rPr>
          <w:rFonts w:ascii="Calibri" w:hAnsi="Calibri"/>
          <w:b w:val="0"/>
          <w:i/>
          <w:color w:val="5E6673"/>
          <w:sz w:val="19"/>
        </w:rPr>
        <w:t>The Memory Wall combines the common features into one small MVP.</w:t>
      </w:r>
    </w:p>
    <w:p>
      <w:r>
        <w:br w:type="page"/>
      </w:r>
    </w:p>
    <w:p>
      <w:pPr>
        <w:spacing w:after="80"/>
      </w:pPr>
      <w:r>
        <w:rPr>
          <w:rFonts w:ascii="Calibri" w:hAnsi="Calibri"/>
          <w:b/>
          <w:color w:val="149D6E"/>
          <w:sz w:val="18"/>
        </w:rPr>
        <w:t>SLIDE 12  ·  LIVE MEMORY WALL</w:t>
      </w:r>
    </w:p>
    <w:p>
      <w:pPr>
        <w:pStyle w:val="Heading1"/>
      </w:pPr>
      <w:r>
        <w:rPr>
          <w:rFonts w:ascii="Calibri" w:hAnsi="Calibri"/>
          <w:b/>
          <w:color w:val="2E74B5"/>
          <w:sz w:val="32"/>
        </w:rPr>
        <w:t>One tiny app. Five Supabase features.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Turn abstract features into a real application the room can use.</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3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A wall preview and feature map: Database, Storage + CDN, RLS, Realtime, and a publishable key.</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Open the live wall; participants post a name, takeaway, and optional photo. New memories appear without refresh.</w:t>
            </w:r>
          </w:p>
        </w:tc>
      </w:tr>
    </w:tbl>
    <w:p>
      <w:pPr>
        <w:pStyle w:val="Heading2"/>
      </w:pPr>
      <w:r>
        <w:rPr>
          <w:rFonts w:ascii="Calibri" w:hAnsi="Calibri"/>
          <w:b/>
          <w:color w:val="2E74B5"/>
          <w:sz w:val="26"/>
        </w:rPr>
        <w:t>Suggested talk track</w:t>
      </w:r>
    </w:p>
    <w:p>
      <w:r>
        <w:rPr>
          <w:rFonts w:ascii="Calibri" w:hAnsi="Calibri"/>
          <w:color w:val="161A22"/>
          <w:sz w:val="22"/>
        </w:rPr>
        <w:t>Each comment is a Postgres row. An optional photo is uploaded to Storage and delivered through a public URL. RLS permits the operations the room needs—read and insert—while preventing browser clients from editing or deleting other memories. Realtime listens for new rows and refreshes the shared view. The frontend uses a publishable key, while policies decide the allowed behavior.</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A small MVP can demonstrate database, file, security, and realtime behavior.</w:t>
      </w:r>
    </w:p>
    <w:p>
      <w:pPr>
        <w:numPr>
          <w:ilvl w:val="0"/>
          <w:numId w:val="10"/>
        </w:numPr>
      </w:pPr>
      <w:r>
        <w:rPr>
          <w:rFonts w:ascii="Calibri" w:hAnsi="Calibri"/>
          <w:color w:val="161A22"/>
          <w:sz w:val="22"/>
        </w:rPr>
        <w:t>Policies should allow only the operations required by the experience.</w:t>
      </w:r>
    </w:p>
    <w:p>
      <w:pPr>
        <w:numPr>
          <w:ilvl w:val="0"/>
          <w:numId w:val="10"/>
        </w:numPr>
      </w:pPr>
      <w:r>
        <w:rPr>
          <w:rFonts w:ascii="Calibri" w:hAnsi="Calibri"/>
          <w:color w:val="161A22"/>
          <w:sz w:val="22"/>
        </w:rPr>
        <w:t>Realtime is most compelling when participants immediately see one another’s actions.</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Do not upload confidential photos or personal information; the current wall is a shared demo space.</w:t>
            </w:r>
          </w:p>
        </w:tc>
      </w:tr>
    </w:tbl>
    <w:p>
      <w:pPr>
        <w:spacing w:before="140" w:after="0"/>
      </w:pPr>
      <w:r>
        <w:rPr>
          <w:rFonts w:ascii="Calibri" w:hAnsi="Calibri"/>
          <w:b/>
          <w:color w:val="5E6673"/>
          <w:sz w:val="19"/>
        </w:rPr>
        <w:t xml:space="preserve">Transition: </w:t>
      </w:r>
      <w:r>
        <w:rPr>
          <w:rFonts w:ascii="Calibri" w:hAnsi="Calibri"/>
          <w:b w:val="0"/>
          <w:i/>
          <w:color w:val="5E6673"/>
          <w:sz w:val="19"/>
        </w:rPr>
        <w:t>Close by choosing only the building blocks the next MVP needs.</w:t>
      </w:r>
    </w:p>
    <w:p>
      <w:r>
        <w:br w:type="page"/>
      </w:r>
    </w:p>
    <w:p>
      <w:pPr>
        <w:spacing w:after="80"/>
      </w:pPr>
      <w:r>
        <w:rPr>
          <w:rFonts w:ascii="Calibri" w:hAnsi="Calibri"/>
          <w:b/>
          <w:color w:val="149D6E"/>
          <w:sz w:val="18"/>
        </w:rPr>
        <w:t>SLIDE 13  ·  PRACTICAL RECIPE</w:t>
      </w:r>
    </w:p>
    <w:p>
      <w:pPr>
        <w:pStyle w:val="Heading1"/>
      </w:pPr>
      <w:r>
        <w:rPr>
          <w:rFonts w:ascii="Calibri" w:hAnsi="Calibri"/>
          <w:b/>
          <w:color w:val="2E74B5"/>
          <w:sz w:val="32"/>
        </w:rPr>
        <w:t>Use what the MVP needs. Nothing more.</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PURPOSE  </w:t>
            </w:r>
            <w:r>
              <w:rPr>
                <w:rFonts w:ascii="Calibri" w:hAnsi="Calibri"/>
                <w:b/>
                <w:color w:val="161A22"/>
                <w:sz w:val="20"/>
              </w:rPr>
              <w:t>End with a decision framework instead of a feature checklist.</w:t>
            </w:r>
          </w:p>
        </w:tc>
      </w:tr>
    </w:tbl>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TIME</w:t>
            </w:r>
          </w:p>
        </w:tc>
        <w:tc>
          <w:tcPr>
            <w:tcW w:type="dxa" w:w="7659"/>
            <w:vAlign w:val="center"/>
            <w:tcMar>
              <w:top w:w="80" w:type="dxa"/>
              <w:start w:w="120" w:type="dxa"/>
              <w:bottom w:w="80" w:type="dxa"/>
              <w:end w:w="120" w:type="dxa"/>
            </w:tcMar>
          </w:tcPr>
          <w:p>
            <w:pPr>
              <w:spacing w:after="0"/>
            </w:pPr>
            <w:r>
              <w:rPr>
                <w:rFonts w:ascii="Calibri" w:hAnsi="Calibri"/>
                <w:color w:val="161A22"/>
                <w:sz w:val="20"/>
              </w:rPr>
              <w:t>2 minutes</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ON SCREEN</w:t>
            </w:r>
          </w:p>
        </w:tc>
        <w:tc>
          <w:tcPr>
            <w:tcW w:type="dxa" w:w="7659"/>
            <w:vAlign w:val="center"/>
            <w:tcMar>
              <w:top w:w="80" w:type="dxa"/>
              <w:start w:w="120" w:type="dxa"/>
              <w:bottom w:w="80" w:type="dxa"/>
              <w:end w:w="120" w:type="dxa"/>
            </w:tcMar>
          </w:tcPr>
          <w:p>
            <w:pPr>
              <w:spacing w:after="0"/>
            </w:pPr>
            <w:r>
              <w:rPr>
                <w:rFonts w:ascii="Calibri" w:hAnsi="Calibri"/>
                <w:color w:val="161A22"/>
                <w:sz w:val="20"/>
              </w:rPr>
              <w:t>An interactive stack builder with Database always selected and Auth/RLS, Storage/CDN, Cron, and AI optional.</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INTERACTION</w:t>
            </w:r>
          </w:p>
        </w:tc>
        <w:tc>
          <w:tcPr>
            <w:tcW w:type="dxa" w:w="7659"/>
            <w:vAlign w:val="center"/>
            <w:tcMar>
              <w:top w:w="80" w:type="dxa"/>
              <w:start w:w="120" w:type="dxa"/>
              <w:bottom w:w="80" w:type="dxa"/>
              <w:end w:w="120" w:type="dxa"/>
            </w:tcMar>
          </w:tcPr>
          <w:p>
            <w:pPr>
              <w:spacing w:after="0"/>
            </w:pPr>
            <w:r>
              <w:rPr>
                <w:rFonts w:ascii="Calibri" w:hAnsi="Calibri"/>
                <w:color w:val="161A22"/>
                <w:sz w:val="20"/>
              </w:rPr>
              <w:t>Ask for one example MVP and toggle only the features it truly requires.</w:t>
            </w:r>
          </w:p>
        </w:tc>
      </w:tr>
    </w:tbl>
    <w:p>
      <w:pPr>
        <w:pStyle w:val="Heading2"/>
      </w:pPr>
      <w:r>
        <w:rPr>
          <w:rFonts w:ascii="Calibri" w:hAnsi="Calibri"/>
          <w:b/>
          <w:color w:val="2E74B5"/>
          <w:sz w:val="26"/>
        </w:rPr>
        <w:t>Suggested talk track</w:t>
      </w:r>
    </w:p>
    <w:p>
      <w:r>
        <w:rPr>
          <w:rFonts w:ascii="Calibri" w:hAnsi="Calibri"/>
          <w:color w:val="161A22"/>
          <w:sz w:val="22"/>
        </w:rPr>
        <w:t>Start with the database as the source of truth. Add Auth and RLS when users own private data. Add Storage and CDN when the product includes files. Add Cron when work must repeat without user action. Add AI only when semantic search, generation, recommendations, or agent tools improve a real workflow. This keeps the architecture understandable and the MVP focused on learning.</w:t>
      </w:r>
    </w:p>
    <w:p>
      <w:pPr>
        <w:pStyle w:val="Heading3"/>
      </w:pPr>
      <w:r>
        <w:rPr>
          <w:rFonts w:ascii="Calibri" w:hAnsi="Calibri"/>
          <w:b/>
          <w:color w:val="1F4D78"/>
          <w:sz w:val="24"/>
        </w:rPr>
        <w:t>Audience takeaways</w:t>
      </w:r>
    </w:p>
    <w:p>
      <w:pPr>
        <w:numPr>
          <w:ilvl w:val="0"/>
          <w:numId w:val="10"/>
        </w:numPr>
      </w:pPr>
      <w:r>
        <w:rPr>
          <w:rFonts w:ascii="Calibri" w:hAnsi="Calibri"/>
          <w:color w:val="161A22"/>
          <w:sz w:val="22"/>
        </w:rPr>
        <w:t>Postgres stores the truth; policies protect it.</w:t>
      </w:r>
    </w:p>
    <w:p>
      <w:pPr>
        <w:numPr>
          <w:ilvl w:val="0"/>
          <w:numId w:val="10"/>
        </w:numPr>
      </w:pPr>
      <w:r>
        <w:rPr>
          <w:rFonts w:ascii="Calibri" w:hAnsi="Calibri"/>
          <w:color w:val="161A22"/>
          <w:sz w:val="22"/>
        </w:rPr>
        <w:t>Storage delivers files; Cron handles repetition.</w:t>
      </w:r>
    </w:p>
    <w:p>
      <w:pPr>
        <w:numPr>
          <w:ilvl w:val="0"/>
          <w:numId w:val="10"/>
        </w:numPr>
      </w:pPr>
      <w:r>
        <w:rPr>
          <w:rFonts w:ascii="Calibri" w:hAnsi="Calibri"/>
          <w:color w:val="161A22"/>
          <w:sz w:val="22"/>
        </w:rPr>
        <w:t>AI should accelerate a defined workflow, not become a feature without a need.</w:t>
      </w:r>
    </w:p>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FFF4D8"/>
          </w:tcPr>
          <w:p>
            <w:pPr>
              <w:spacing w:after="40"/>
            </w:pPr>
            <w:r>
              <w:rPr>
                <w:rFonts w:ascii="Calibri" w:hAnsi="Calibri"/>
                <w:b/>
                <w:color w:val="7A5A00"/>
                <w:sz w:val="17"/>
              </w:rPr>
              <w:t xml:space="preserve">PRESENTER CAUTION  </w:t>
            </w:r>
            <w:r>
              <w:rPr>
                <w:rFonts w:ascii="Calibri" w:hAnsi="Calibri"/>
                <w:b/>
                <w:color w:val="161A22"/>
                <w:sz w:val="20"/>
              </w:rPr>
              <w:t>The best MVP architecture is the smallest one that can test the important product assumption.</w:t>
            </w:r>
          </w:p>
        </w:tc>
      </w:tr>
    </w:tbl>
    <w:p>
      <w:pPr>
        <w:spacing w:before="140" w:after="0"/>
      </w:pPr>
      <w:r>
        <w:rPr>
          <w:rFonts w:ascii="Calibri" w:hAnsi="Calibri"/>
          <w:b/>
          <w:color w:val="5E6673"/>
          <w:sz w:val="19"/>
        </w:rPr>
        <w:t xml:space="preserve">Transition: </w:t>
      </w:r>
      <w:r>
        <w:rPr>
          <w:rFonts w:ascii="Calibri" w:hAnsi="Calibri"/>
          <w:b w:val="0"/>
          <w:i/>
          <w:color w:val="5E6673"/>
          <w:sz w:val="19"/>
        </w:rPr>
        <w:t>Invite questions, then share the live site and this guide.</w:t>
      </w:r>
    </w:p>
    <w:p>
      <w:r>
        <w:br w:type="page"/>
      </w:r>
    </w:p>
    <w:p>
      <w:pPr>
        <w:pStyle w:val="Heading1"/>
      </w:pPr>
      <w:r>
        <w:rPr>
          <w:rFonts w:ascii="Calibri" w:hAnsi="Calibri"/>
          <w:b/>
          <w:color w:val="2E74B5"/>
          <w:sz w:val="32"/>
        </w:rPr>
        <w:t>Accuracy and demo checklist</w:t>
      </w:r>
    </w:p>
    <w:p>
      <w:pPr>
        <w:numPr>
          <w:ilvl w:val="0"/>
          <w:numId w:val="10"/>
        </w:numPr>
      </w:pPr>
      <w:r>
        <w:rPr>
          <w:rFonts w:ascii="Calibri" w:hAnsi="Calibri"/>
          <w:color w:val="161A22"/>
          <w:sz w:val="22"/>
        </w:rPr>
        <w:t>Confirm the workshop loads, the theme control is visible, and the Data API slide reaches Supabase.</w:t>
      </w:r>
    </w:p>
    <w:p>
      <w:pPr>
        <w:numPr>
          <w:ilvl w:val="0"/>
          <w:numId w:val="10"/>
        </w:numPr>
      </w:pPr>
      <w:r>
        <w:rPr>
          <w:rFonts w:ascii="Calibri" w:hAnsi="Calibri"/>
          <w:color w:val="161A22"/>
          <w:sz w:val="22"/>
        </w:rPr>
        <w:t>Confirm the Memory Wall reports Live before inviting posts.</w:t>
      </w:r>
    </w:p>
    <w:p>
      <w:pPr>
        <w:numPr>
          <w:ilvl w:val="0"/>
          <w:numId w:val="10"/>
        </w:numPr>
      </w:pPr>
      <w:r>
        <w:rPr>
          <w:rFonts w:ascii="Calibri" w:hAnsi="Calibri"/>
          <w:color w:val="161A22"/>
          <w:sz w:val="22"/>
        </w:rPr>
        <w:t>Keep the service-role key out of browser code, slides, screenshots, and chat.</w:t>
      </w:r>
    </w:p>
    <w:p>
      <w:pPr>
        <w:numPr>
          <w:ilvl w:val="0"/>
          <w:numId w:val="10"/>
        </w:numPr>
      </w:pPr>
      <w:r>
        <w:rPr>
          <w:rFonts w:ascii="Calibri" w:hAnsi="Calibri"/>
          <w:color w:val="161A22"/>
          <w:sz w:val="22"/>
        </w:rPr>
        <w:t>Describe middleware as session maintenance and routing convenience—not the final security boundary.</w:t>
      </w:r>
    </w:p>
    <w:p>
      <w:pPr>
        <w:numPr>
          <w:ilvl w:val="0"/>
          <w:numId w:val="10"/>
        </w:numPr>
      </w:pPr>
      <w:r>
        <w:rPr>
          <w:rFonts w:ascii="Calibri" w:hAnsi="Calibri"/>
          <w:color w:val="161A22"/>
          <w:sz w:val="22"/>
        </w:rPr>
        <w:t>Describe public Storage as public download access, not public write/update/delete access.</w:t>
      </w:r>
    </w:p>
    <w:p>
      <w:pPr>
        <w:numPr>
          <w:ilvl w:val="0"/>
          <w:numId w:val="10"/>
        </w:numPr>
      </w:pPr>
      <w:r>
        <w:rPr>
          <w:rFonts w:ascii="Calibri" w:hAnsi="Calibri"/>
          <w:color w:val="161A22"/>
          <w:sz w:val="22"/>
        </w:rPr>
        <w:t>Describe the CDN animation as a conceptual path; caching varies by request, headers, region, and object state.</w:t>
      </w:r>
    </w:p>
    <w:p>
      <w:pPr>
        <w:numPr>
          <w:ilvl w:val="0"/>
          <w:numId w:val="10"/>
        </w:numPr>
      </w:pPr>
      <w:r>
        <w:rPr>
          <w:rFonts w:ascii="Calibri" w:hAnsi="Calibri"/>
          <w:color w:val="161A22"/>
          <w:sz w:val="22"/>
        </w:rPr>
        <w:t>Use the SQL simulator for teaching; review copied SQL before running it live.</w:t>
      </w:r>
    </w:p>
    <w:p>
      <w:pPr>
        <w:numPr>
          <w:ilvl w:val="0"/>
          <w:numId w:val="10"/>
        </w:numPr>
      </w:pPr>
      <w:r>
        <w:rPr>
          <w:rFonts w:ascii="Calibri" w:hAnsi="Calibri"/>
          <w:color w:val="161A22"/>
          <w:sz w:val="22"/>
        </w:rPr>
        <w:t>For agentic AI, use least privilege, project scope, development environments, and human review.</w:t>
      </w:r>
    </w:p>
    <w:p>
      <w:pPr>
        <w:pStyle w:val="Heading2"/>
      </w:pPr>
      <w:r>
        <w:rPr>
          <w:rFonts w:ascii="Calibri" w:hAnsi="Calibri"/>
          <w:b/>
          <w:color w:val="2E74B5"/>
          <w:sz w:val="26"/>
        </w:rPr>
        <w:t>Useful links</w:t>
      </w:r>
    </w:p>
    <w:tbl>
      <w:tblPr>
        <w:tblW w:type="dxa" w:w="9360"/>
        <w:tblLook w:firstColumn="1" w:firstRow="1" w:lastColumn="0" w:lastRow="0" w:noHBand="0" w:noVBand="1" w:val="04A0"/>
        <w:tblLayout w:type="fixed"/>
        <w:tblInd w:w="120" w:type="dxa"/>
        <w:tblBorders>
          <w:top w:val="single" w:sz="4" w:color="D9DEE6"/>
          <w:left w:val="single" w:sz="4" w:color="D9DEE6"/>
          <w:bottom w:val="single" w:sz="4" w:color="D9DEE6"/>
          <w:right w:val="single" w:sz="4" w:color="D9DEE6"/>
          <w:insideH w:val="single" w:sz="4" w:color="D9DEE6"/>
          <w:insideV w:val="single" w:sz="4" w:color="D9DEE6"/>
        </w:tblBorders>
      </w:tblPr>
      <w:tblGrid>
        <w:gridCol w:w="1701"/>
        <w:gridCol w:w="7659"/>
      </w:tblGrid>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WORKSHOP</w:t>
            </w:r>
          </w:p>
        </w:tc>
        <w:tc>
          <w:tcPr>
            <w:tcW w:type="dxa" w:w="7659"/>
            <w:vAlign w:val="center"/>
            <w:tcMar>
              <w:top w:w="80" w:type="dxa"/>
              <w:start w:w="120" w:type="dxa"/>
              <w:bottom w:w="80" w:type="dxa"/>
              <w:end w:w="120" w:type="dxa"/>
            </w:tcMar>
          </w:tcPr>
          <w:p>
            <w:pPr>
              <w:spacing w:after="0"/>
            </w:pPr>
            <w:r>
              <w:rPr>
                <w:rFonts w:ascii="Calibri" w:hAnsi="Calibri"/>
                <w:color w:val="161A22"/>
                <w:sz w:val="20"/>
              </w:rPr>
              <w:t>https://hovahyii.vercel.app/supabase-for-mvps-workshop</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MEMORY WALL</w:t>
            </w:r>
          </w:p>
        </w:tc>
        <w:tc>
          <w:tcPr>
            <w:tcW w:type="dxa" w:w="7659"/>
            <w:vAlign w:val="center"/>
            <w:tcMar>
              <w:top w:w="80" w:type="dxa"/>
              <w:start w:w="120" w:type="dxa"/>
              <w:bottom w:w="80" w:type="dxa"/>
              <w:end w:w="120" w:type="dxa"/>
            </w:tcMar>
          </w:tcPr>
          <w:p>
            <w:pPr>
              <w:spacing w:after="0"/>
            </w:pPr>
            <w:r>
              <w:rPr>
                <w:rFonts w:ascii="Calibri" w:hAnsi="Calibri"/>
                <w:color w:val="161A22"/>
                <w:sz w:val="20"/>
              </w:rPr>
              <w:t>https://hovahyii.vercel.app/supabase-for-mvps-workshop/wall</w:t>
            </w:r>
          </w:p>
        </w:tc>
      </w:tr>
      <w:tr>
        <w:tc>
          <w:tcPr>
            <w:tcW w:type="dxa" w:w="1701"/>
            <w:vAlign w:val="center"/>
            <w:tcMar>
              <w:top w:w="80" w:type="dxa"/>
              <w:start w:w="120" w:type="dxa"/>
              <w:bottom w:w="80" w:type="dxa"/>
              <w:end w:w="120" w:type="dxa"/>
            </w:tcMar>
            <w:shd w:fill="E8EEF5"/>
          </w:tcPr>
          <w:p>
            <w:pPr>
              <w:spacing w:after="0"/>
            </w:pPr>
            <w:r>
              <w:rPr>
                <w:rFonts w:ascii="Calibri" w:hAnsi="Calibri"/>
                <w:b/>
                <w:color w:val="1F4D78"/>
                <w:sz w:val="17"/>
              </w:rPr>
              <w:t>OFFICIAL DOCS</w:t>
            </w:r>
          </w:p>
        </w:tc>
        <w:tc>
          <w:tcPr>
            <w:tcW w:type="dxa" w:w="7659"/>
            <w:vAlign w:val="center"/>
            <w:tcMar>
              <w:top w:w="80" w:type="dxa"/>
              <w:start w:w="120" w:type="dxa"/>
              <w:bottom w:w="80" w:type="dxa"/>
              <w:end w:w="120" w:type="dxa"/>
            </w:tcMar>
          </w:tcPr>
          <w:p>
            <w:pPr>
              <w:spacing w:after="0"/>
            </w:pPr>
            <w:r>
              <w:rPr>
                <w:rFonts w:ascii="Calibri" w:hAnsi="Calibri"/>
                <w:color w:val="161A22"/>
                <w:sz w:val="20"/>
              </w:rPr>
              <w:t>https://supabase.com/docs</w:t>
            </w:r>
          </w:p>
        </w:tc>
      </w:tr>
    </w:tbl>
    <w:tbl>
      <w:tblPr>
        <w:tblW w:type="dxa" w:w="9360"/>
        <w:tblLook w:firstColumn="1" w:firstRow="1" w:lastColumn="0" w:lastRow="0" w:noHBand="0" w:noVBand="1" w:val="04A0"/>
        <w:tblLayout w:type="fixed"/>
        <w:tblInd w:w="120" w:type="dxa"/>
        <w:tblBorders>
          <w:top w:val="nil" w:sz="4" w:color="D9DEE6"/>
          <w:left w:val="nil" w:sz="4" w:color="D9DEE6"/>
          <w:bottom w:val="nil" w:sz="4" w:color="D9DEE6"/>
          <w:right w:val="nil" w:sz="4" w:color="D9DEE6"/>
          <w:insideH w:val="nil" w:sz="4" w:color="D9DEE6"/>
          <w:insideV w:val="nil" w:sz="4" w:color="D9DEE6"/>
        </w:tblBorders>
      </w:tblPr>
      <w:tblGrid>
        <w:gridCol w:w="9360"/>
      </w:tblGrid>
      <w:tr>
        <w:tc>
          <w:tcPr>
            <w:tcW w:type="dxa" w:w="9360"/>
            <w:vAlign w:val="center"/>
            <w:tcMar>
              <w:top w:w="80" w:type="dxa"/>
              <w:start w:w="120" w:type="dxa"/>
              <w:bottom w:w="80" w:type="dxa"/>
              <w:end w:w="120" w:type="dxa"/>
            </w:tcMar>
            <w:shd w:fill="DDF7EC"/>
          </w:tcPr>
          <w:p>
            <w:pPr>
              <w:spacing w:after="40"/>
            </w:pPr>
            <w:r>
              <w:rPr>
                <w:rFonts w:ascii="Calibri" w:hAnsi="Calibri"/>
                <w:b/>
                <w:color w:val="149D6E"/>
                <w:sz w:val="17"/>
              </w:rPr>
              <w:t xml:space="preserve">FINAL MESSAGE  </w:t>
            </w:r>
            <w:r>
              <w:rPr>
                <w:rFonts w:ascii="Calibri" w:hAnsi="Calibri"/>
                <w:b/>
                <w:color w:val="161A22"/>
                <w:sz w:val="20"/>
              </w:rPr>
              <w:t>Postgres stores the truth. Policies protect it. Storage delivers files. Cron handles repetition. AI tools accelerate a defined job.</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ook w:firstColumn="1" w:firstRow="1" w:lastColumn="0" w:lastRow="0" w:noHBand="0" w:noVBand="1" w:val="04A0"/>
      <w:tblLayout w:type="fixed"/>
      <w:tblInd w:w="0" w:type="dxa"/>
      <w:tblBorders>
        <w:top w:val="nil" w:sz="4" w:color="D9DEE6"/>
        <w:left w:val="nil" w:sz="4" w:color="D9DEE6"/>
        <w:bottom w:val="nil" w:sz="4" w:color="D9DEE6"/>
        <w:right w:val="nil" w:sz="4" w:color="D9DEE6"/>
        <w:insideH w:val="nil" w:sz="4" w:color="D9DEE6"/>
        <w:insideV w:val="nil" w:sz="4" w:color="D9DEE6"/>
      </w:tblBorders>
    </w:tblPr>
    <w:tblGrid>
      <w:gridCol w:w="7200"/>
      <w:gridCol w:w="2160"/>
    </w:tblGrid>
    <w:tr>
      <w:tc>
        <w:tcPr>
          <w:tcW w:type="dxa" w:w="7200"/>
          <w:vAlign w:val="center"/>
          <w:tcMar>
            <w:top w:w="80" w:type="dxa"/>
            <w:start w:w="120" w:type="dxa"/>
            <w:bottom w:w="80" w:type="dxa"/>
            <w:end w:w="120" w:type="dxa"/>
          </w:tcMar>
        </w:tcPr>
        <w:p>
          <w:r>
            <w:rPr>
              <w:rFonts w:ascii="Calibri" w:hAnsi="Calibri"/>
              <w:color w:val="5E6673"/>
              <w:sz w:val="17"/>
            </w:rPr>
            <w:t>MRANTI × Supabase Kuala Lumpur</w:t>
          </w:r>
        </w:p>
      </w:tc>
      <w:tc>
        <w:tcPr>
          <w:tcW w:type="dxa" w:w="2160"/>
          <w:vAlign w:val="center"/>
          <w:tcMar>
            <w:top w:w="80" w:type="dxa"/>
            <w:start w:w="120" w:type="dxa"/>
            <w:bottom w:w="80" w:type="dxa"/>
            <w:end w:w="120" w:type="dxa"/>
          </w:tcMar>
        </w:tcPr>
        <w:p>
          <w:pPr>
            <w:jc w:val="right"/>
          </w:pPr>
          <w:r>
            <w:rPr>
              <w:rFonts w:ascii="Calibri" w:hAnsi="Calibri"/>
              <w:color w:val="5E6673"/>
              <w:sz w:val="17"/>
            </w:rPr>
            <w:t xml:space="preserve">Page </w:t>
          </w:r>
          <w:r>
            <w:rPr>
              <w:rFonts w:ascii="Calibri" w:hAnsi="Calibri"/>
              <w:color w:val="5E6673"/>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E6673"/>
        <w:sz w:val="17"/>
      </w:rPr>
      <w:t>SUPABASE FOR MVPs WORKSHOP  ·  PRESENTER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1A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Supabase for MVPs Workshop — Presenter Guide</dc:title>
  <dc:subject>Detailed notes for the 13-slide MRANTI × Supabase Kuala Lumpur workshop</dc:subject>
  <dc:creator>Jehovah Yii Zui Hon</dc:creator>
  <cp:keywords/>
  <dc:description>generated by python-docx</dc:description>
  <cp:lastModifiedBy/>
  <cp:revision>1</cp:revision>
  <dcterms:created xsi:type="dcterms:W3CDTF">2013-12-23T23:15:00Z</dcterms:created>
  <dcterms:modified xsi:type="dcterms:W3CDTF">2013-12-23T23:15:00Z</dcterms:modified>
  <cp:category/>
</cp:coreProperties>
</file>