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E82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CỘNG HÒA XÃ HỘI CHỦ NGHĨA VIỆT NAM</w:t>
      </w:r>
    </w:p>
    <w:p w14:paraId="57ADEA2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1811655</wp:posOffset>
                </wp:positionH>
                <wp:positionV relativeFrom="paragraph">
                  <wp:posOffset>203835</wp:posOffset>
                </wp:positionV>
                <wp:extent cx="2084070" cy="0"/>
                <wp:effectExtent l="0" t="0" r="0" b="0"/>
                <wp:wrapNone/>
                <wp:docPr id="15418553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398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142.65pt;margin-top:16.05pt;height:0pt;width:164.1pt;z-index:251659264;mso-width-relative:page;mso-height-relative:page;" filled="f" stroked="t" coordsize="21600,21600" o:gfxdata="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N/c7bdcA&#10;AAAJAQAADwAAAAAAAAABACAAAAAiAAAAZHJzL2Rvd25yZXYueG1sUEsBAhQAFAAAAAgAh07iQIrF&#10;zH3nAQAA3wMAAA4AAAAAAAAAAQAgAAAAJg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Độc lập – Tự do – Hạnh phúc</w:t>
      </w:r>
    </w:p>
    <w:p w14:paraId="45FBFB1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EDC419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HỢP ĐỒNG DỊCH VỤ</w:t>
      </w:r>
    </w:p>
    <w:p w14:paraId="12CC824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Số:  /HĐDV/2025</w:t>
      </w:r>
    </w:p>
    <w:p w14:paraId="4AAF1B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2311400</wp:posOffset>
                </wp:positionH>
                <wp:positionV relativeFrom="paragraph">
                  <wp:posOffset>7620</wp:posOffset>
                </wp:positionV>
                <wp:extent cx="1095375" cy="0"/>
                <wp:effectExtent l="0" t="0" r="0" b="0"/>
                <wp:wrapNone/>
                <wp:docPr id="5615165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515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6" o:spt="20" style="position:absolute;left:0pt;margin-left:182pt;margin-top:0.6pt;height:0pt;width:86.25pt;z-index:251660288;mso-width-relative:page;mso-height-relative:page;" filled="f" stroked="t" coordsize="21600,21600" o:gfxdata="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6TY0jdUAAAAH&#10;AQAADwAAAAAAAAABACAAAAAiAAAAZHJzL2Rvd25yZXYueG1sUEsBAhQAFAAAAAgAh07iQPrEr0nm&#10;AQAA3gMAAA4AAAAAAAAAAQAgAAAAJA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AB6A785">
      <w:pPr>
        <w:spacing w:after="0"/>
        <w:jc w:val="both"/>
        <w:rPr>
          <w:rFonts w:ascii="Times New Roman" w:hAnsi="Times New Roman" w:cs="Times New Roman"/>
          <w:b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i/>
          <w:iCs/>
          <w:sz w:val="28"/>
          <w:szCs w:val="28"/>
        </w:rPr>
        <w:t>Căn cứ pháp lý:</w:t>
      </w:r>
    </w:p>
    <w:p w14:paraId="0C4577A8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>
        <w:rPr>
          <w:rFonts w:ascii="Times New Roman" w:hAnsi="Times New Roman" w:cs="Times New Roman"/>
          <w:i/>
          <w:iCs/>
          <w:sz w:val="28"/>
          <w:szCs w:val="28"/>
        </w:rPr>
        <w:t>- Bộ luật Dân sự số 91/2015/QH13 ngày 24/11/2015;</w:t>
      </w:r>
    </w:p>
    <w:p w14:paraId="600C0F71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Thương mại số 36/2005/QH11 ngày 14/06/2005;</w:t>
      </w:r>
    </w:p>
    <w:p w14:paraId="49B950B8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Công nghệ thông tin số 67/2006/QH11 ngày 29/06/2006;</w:t>
      </w:r>
    </w:p>
    <w:p w14:paraId="655A878C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Sở hữu trí tuệ số 50/2005/QH11 (sửa đổi, bổ sung 2022);</w:t>
      </w:r>
    </w:p>
    <w:p w14:paraId="23B7AECA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Nhu cầu sử dụng phần mềm của Bên A và khả năng cung cấp dịch vụ phần mềm của Bên B;</w:t>
      </w:r>
    </w:p>
    <w:p w14:paraId="5FA00CA7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5899F0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bên thống nhất ký kết Hợp đồng với các điều khoản sau:</w:t>
      </w:r>
    </w:p>
    <w:p w14:paraId="5DD87F1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1. Các bên trong hợp đồng</w:t>
      </w:r>
    </w:p>
    <w:p w14:paraId="558FCC7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Bên A (Bên sử dụng dịch vụ)</w:t>
      </w:r>
    </w:p>
    <w:tbl>
      <w:tblPr>
        <w:tblStyle w:val="44"/>
        <w:tblW w:w="0" w:type="auto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839"/>
      </w:tblGrid>
      <w:tr w14:paraId="5B9BFF2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</w:tblPrEx>
        <w:tc>
          <w:tcPr>
            <w:tcW w:w="2448" w:type="dxa"/>
            <w:tcBorders>
              <w:right w:val="single" w:color="auto" w:sz="4" w:space="0"/>
            </w:tcBorders>
            <w:shd w:val="clear" w:color="auto" w:fill="EEECE1" w:themeFill="background2"/>
          </w:tcPr>
          <w:p w14:paraId="08A33BBC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Tên đơn vị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  <w:shd w:val="clear" w:color="auto" w:fill="EEECE1" w:themeFill="background2"/>
          </w:tcPr>
          <w:p w14:paraId="79375A9C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</w:p>
        </w:tc>
      </w:tr>
      <w:tr w14:paraId="3A3234A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0A98EF10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Địa chỉ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2817F582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975778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331A9587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Mã số thuế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1DE731FD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15597B0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3A763301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638F8E78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7DD477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71A14D0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5415154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0B5936F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24D13819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Điện thoại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0961E34A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0E1A519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6A63936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091BE48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3924B4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Bên B (Bên cung cấp dịch vụ)</w:t>
      </w:r>
    </w:p>
    <w:tbl>
      <w:tblPr>
        <w:tblStyle w:val="4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839"/>
      </w:tblGrid>
      <w:tr w14:paraId="408B8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48" w:type="dxa"/>
            <w:shd w:val="clear" w:color="auto" w:fill="EEECE1" w:themeFill="background2"/>
          </w:tcPr>
          <w:p w14:paraId="2E5FD65D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Tên đơn vị</w:t>
            </w:r>
          </w:p>
        </w:tc>
        <w:tc>
          <w:tcPr>
            <w:tcW w:w="6839" w:type="dxa"/>
            <w:shd w:val="clear" w:color="auto" w:fill="EEECE1" w:themeFill="background2"/>
          </w:tcPr>
          <w:p w14:paraId="2DAF7E42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CÔNG TY TNHH TM &amp; DV LÂM THẮNG PHÁT</w:t>
            </w:r>
          </w:p>
        </w:tc>
      </w:tr>
      <w:tr w14:paraId="13AA3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43C5752B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Địa chỉ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092CB862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 Tam Hòa, xã Hà Nha, Tp Đà Nẵng</w:t>
            </w:r>
          </w:p>
        </w:tc>
      </w:tr>
      <w:tr w14:paraId="0D893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054758D4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Mã số thuế</w:t>
            </w:r>
          </w:p>
        </w:tc>
        <w:tc>
          <w:tcPr>
            <w:tcW w:w="6839" w:type="dxa"/>
          </w:tcPr>
          <w:p w14:paraId="1D277391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4001299968</w:t>
            </w:r>
          </w:p>
        </w:tc>
      </w:tr>
      <w:tr w14:paraId="7A4C5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6521DB52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5EE7B65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Hồ Vũ Việt Thắng</w:t>
            </w:r>
          </w:p>
        </w:tc>
      </w:tr>
      <w:tr w14:paraId="69F20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5A99FDF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6839" w:type="dxa"/>
          </w:tcPr>
          <w:p w14:paraId="60B063D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Giám đốc</w:t>
            </w:r>
          </w:p>
        </w:tc>
      </w:tr>
      <w:tr w14:paraId="5C68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5D8058D1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Điện thoại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1FDC2AF6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0345056117</w:t>
            </w:r>
          </w:p>
        </w:tc>
      </w:tr>
      <w:tr w14:paraId="61981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1FA5FAA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6839" w:type="dxa"/>
          </w:tcPr>
          <w:p w14:paraId="3D8CE77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DB80B4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(Sau đây gọi chung là “Các Bên”, gọi riêng là “Bên A” và “Bên B”).</w:t>
      </w:r>
    </w:p>
    <w:p w14:paraId="6C42212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2. Đối tượng hợp đồng</w:t>
      </w:r>
    </w:p>
    <w:p w14:paraId="3FFE187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Bên B cung cấp cho Bên A quyền sử dụng phần mềm quản lý và chia giờ dịch vụ kỹ thuật MEDS (sau đây gọi là “Phần mềm”) theo mô hình dịch vụ SaaS (Software as a Service), phần mềm được cung cấp dưới dạng dịch vụ qua internet thay vì cài đặt trên máy tính của người dùng.</w:t>
      </w:r>
    </w:p>
    <w:p w14:paraId="11FDD55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Phạm vi bao gồm:</w:t>
      </w:r>
    </w:p>
    <w:p w14:paraId="51EF30D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Quyền truy cập và sử dụng Phần mềm theo tài khoản do Bên B cấp trong thời hạn hợp đồng;</w:t>
      </w:r>
    </w:p>
    <w:p w14:paraId="6031A31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Cập nhật, nâng cấp, sửa lỗi trong thời hạn hợp đồng;</w:t>
      </w:r>
    </w:p>
    <w:p w14:paraId="7CC4118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kỹ thuật trực tuyến cho Bên A theo Điều 3.</w:t>
      </w:r>
    </w:p>
    <w:p w14:paraId="08E24F0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3. Phạm vi dịch vụ</w:t>
      </w:r>
    </w:p>
    <w:p w14:paraId="6CFE7C4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B đảm bảo Phần mềm vận hành đúng chức năng mô tả tại Phụ lục hợp đồng 2;</w:t>
      </w:r>
    </w:p>
    <w:p w14:paraId="79F3C87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B cung cấp đào tạo/hướng dẫn sử dụng cho cán bộ được chỉ định của Bên A;</w:t>
      </w:r>
    </w:p>
    <w:p w14:paraId="185DD76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kỹ thuật qua điện thoại/email/Zalo trong vòng 24 tiếng;</w:t>
      </w:r>
    </w:p>
    <w:p w14:paraId="69EF3E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A chỉ được sử dụng Phần mềm cho mục đích nội bộ, không chuyển giao cho bên thứ ba khi chưa có chấp thuận bằng văn bản của Bên B.</w:t>
      </w:r>
    </w:p>
    <w:p w14:paraId="1A318F5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4. Thời hạn hợp đồng</w:t>
      </w:r>
    </w:p>
    <w:p w14:paraId="7A5465D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có hiệu lực từ ngày …/…/2025 đến hết ngày …/…/2025</w:t>
      </w:r>
    </w:p>
    <w:p w14:paraId="4E6964C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được gia hạn bằng hợp đồng mới.</w:t>
      </w:r>
    </w:p>
    <w:p w14:paraId="3C4C7AF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5. Giá trị và phương thức thanh toán</w:t>
      </w:r>
    </w:p>
    <w:p w14:paraId="5D15360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Giá trị dịch vụ: ……………..VNĐ (theo bảng giá kèm Phụ lục 1)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C7B45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Bảng giá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(Biểu giá năm </w:t>
      </w:r>
      <w:bookmarkStart w:id="1" w:name="_GoBack"/>
      <w:bookmarkEnd w:id="1"/>
      <w:r>
        <w:rPr>
          <w:rFonts w:hint="default" w:ascii="Times New Roman" w:hAnsi="Times New Roman" w:cs="Times New Roman"/>
          <w:sz w:val="28"/>
          <w:szCs w:val="28"/>
          <w:lang w:val="en-US"/>
        </w:rPr>
        <w:t>2026 áp dụng khách hàng mới)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5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7"/>
        <w:gridCol w:w="5716"/>
        <w:gridCol w:w="1174"/>
      </w:tblGrid>
      <w:tr w14:paraId="3FA36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355F4899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Tên gói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2370F63E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Bảng giá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7382CD34">
            <w:pPr>
              <w:spacing w:before="0" w:after="0" w:line="240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Chọn</w:t>
            </w:r>
          </w:p>
        </w:tc>
      </w:tr>
      <w:tr w14:paraId="12C3F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0AE7E28">
            <w:pPr>
              <w:spacing w:after="0" w:line="240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1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412A672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0.000 VNĐ/tháng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3E58F8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1E88C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7ADEE8B8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6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5492CB29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2.5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00.000 VNĐ/6 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50EA89E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FF4E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081945A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12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624E1B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VNĐ/12 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454C7D9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78036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24709D2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trọn đời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7A505CC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VNĐ (1 lần duy nhất)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558B27E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0970F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Hình thức thanh toán: Chuyển khoản vào tài khoản của Bên B.</w:t>
      </w:r>
    </w:p>
    <w:p w14:paraId="0892778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Thời hạn thanh toán: Trong vòng 30 ngày kể từ ngày ký hợp đồng/hóa đơn.</w:t>
      </w:r>
    </w:p>
    <w:p w14:paraId="75FF1A9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6. Quyền và nghĩa vụ của Bên A</w:t>
      </w:r>
    </w:p>
    <w:p w14:paraId="56AB78A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Thanh toán đủ và đúng hạn theo Điều 5;</w:t>
      </w:r>
    </w:p>
    <w:p w14:paraId="0B3FA2D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thông tin cần thiết để Bên B triển khai dịch vụ;</w:t>
      </w:r>
    </w:p>
    <w:p w14:paraId="2355D5B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 tài khoản truy cập;</w:t>
      </w:r>
    </w:p>
    <w:p w14:paraId="2EF574C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Không sao chép, phân phối, chỉnh sửa, dịch ngược Phần mềm khi chưa có chấp thuận của Bên B.</w:t>
      </w:r>
    </w:p>
    <w:p w14:paraId="69D3A67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7. Quyền và nghĩa vụ của Bên B</w:t>
      </w:r>
    </w:p>
    <w:p w14:paraId="77A59C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Phần mềm đúng thỏa thuận, hỗ trợ kỹ thuật trong thời hạn hợp đồng;</w:t>
      </w:r>
    </w:p>
    <w:p w14:paraId="2765B46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 dữ liệu của Bên A; chỉ sử dụng dữ liệu cho mục đích kỹ thuật, không tiết lộ cho bên thứ ba trừ khi có sự đồng ý của Bên A hoặc theo yêu cầu cơ quan có thẩm quyền;</w:t>
      </w:r>
    </w:p>
    <w:p w14:paraId="03C7B57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hóa đơn, chứng từ hợp lệ;</w:t>
      </w:r>
    </w:p>
    <w:p w14:paraId="1F8906A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Thông báo trước cho Bên A khi có thay đổi về dịch vụ.</w:t>
      </w:r>
    </w:p>
    <w:p w14:paraId="72E8D8D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8. Bảo mật thông tin và dữ liệu</w:t>
      </w:r>
    </w:p>
    <w:p w14:paraId="69D3AEA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Các Bên cam kết bảo mật thông tin hợp đồng và dữ liệu phát sinh trong quá trình sử dụng Phần mềm;</w:t>
      </w:r>
    </w:p>
    <w:p w14:paraId="78E05B4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Chỉ cung cấp cho bên thứ ba khi có sự đồng ý bằng văn bản của Bên còn lại hoặc theo yêu cầu bằng văn bản của cơ quan nhà nước có thẩm quyền;</w:t>
      </w:r>
    </w:p>
    <w:p w14:paraId="521B142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Khi chấm dứt hợp đồng, Bên B sẽ cung cấp bản sao dữ liệu cho Bên A nếu có yêu cầu.</w:t>
      </w:r>
    </w:p>
    <w:p w14:paraId="3CF0D64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9. Chấm dứt hợp đồng</w:t>
      </w:r>
    </w:p>
    <w:p w14:paraId="7E5949B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Hết thời hạn hợp đồng mà không gia hạn;</w:t>
      </w:r>
    </w:p>
    <w:p w14:paraId="426DEF3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Các Bên thỏa thuận chấm dứt trước hạn;</w:t>
      </w:r>
    </w:p>
    <w:p w14:paraId="0E7EBCA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Một Bên vi phạm nghiêm trọng nghĩa vụ và không khắc phục trong vòng 15 ngày kể từ ngày được thông báo.</w:t>
      </w:r>
    </w:p>
    <w:p w14:paraId="5E17291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10. Giải quyết tranh chấp</w:t>
      </w:r>
    </w:p>
    <w:p w14:paraId="3990E4C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Tranh chấp phát sinh được ưu tiên giải quyết bằng thương lượng, hòa giải.</w:t>
      </w:r>
    </w:p>
    <w:p w14:paraId="06A646D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không đạt được thỏa thuận, tranh chấp được giải quyết tại Tòa án nhân dân có thẩm quyền tại nơi Bên B đặt trụ sở, theo pháp luật Việt Nam.</w:t>
      </w:r>
    </w:p>
    <w:p w14:paraId="622E379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11. Điều khoản chung</w:t>
      </w:r>
    </w:p>
    <w:p w14:paraId="2218260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có hiệu lực kể từ ngày ký;</w:t>
      </w:r>
    </w:p>
    <w:p w14:paraId="1376AF09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gồm 03 trang, được lập thành 02 bản có giá trị pháp lý như nhau, mỗi Bên giữ 01 bản;</w:t>
      </w:r>
    </w:p>
    <w:p w14:paraId="4B25A85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Phụ lục hợp đồng 1 và Phụ lục hợp đồng 2 là một phần không tách rời của Hợp đồng này.</w:t>
      </w: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368D2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70D39B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bookmarkStart w:id="0" w:name="_Hlk208158054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50B186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3925C4C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53CCCD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1D52745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B9E90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8125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9D25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585BC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  <w:bookmarkEnd w:id="0"/>
    </w:tbl>
    <w:p w14:paraId="29432B1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39C83B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FF8242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5EFDC8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CE009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EAD5E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PHỤ LỤC 1</w:t>
      </w:r>
    </w:p>
    <w:p w14:paraId="621D9BCB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216535</wp:posOffset>
                </wp:positionV>
                <wp:extent cx="3286125" cy="0"/>
                <wp:effectExtent l="0" t="0" r="0" b="0"/>
                <wp:wrapNone/>
                <wp:docPr id="2100177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61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97.9pt;margin-top:17.05pt;height:0pt;width:258.75pt;z-index:251661312;mso-width-relative:page;mso-height-relative:page;" filled="f" stroked="t" coordsize="21600,21600" o:gfxdata="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Cah6e3VAAAACQEA&#10;AA8AAAAAAAAAAQAgAAAAIgAAAGRycy9kb3ducmV2LnhtbFBLAQIUABQAAAAIAIdO4kBhODFX5AEA&#10;AN4DAAAOAAAAAAAAAAEAIAAAACQBAABkcnMvZTJvRG9jLnhtbFBLBQYAAAAABgAGAFkBAAB6BQAA&#10;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BẢNG GIÁ DỊCH VỤ PHẦN MỀM MEDS</w:t>
      </w:r>
    </w:p>
    <w:p w14:paraId="24EEAB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336A89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là một phần không tách rời của Hợp đồng dịch vụ phần mềm số …/HĐDV/2025, ký ngày …/…/2025 giữa Bên A và Bên B.</w:t>
      </w:r>
    </w:p>
    <w:p w14:paraId="12EE87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giá dịch vụ MEDS áp dụng tại thời điểm ký hợp đồng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(Biểu giá 2026 áp dụng khách hàng mới)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6"/>
        <w:gridCol w:w="3551"/>
        <w:gridCol w:w="4590"/>
      </w:tblGrid>
      <w:tr w14:paraId="7BE16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63C530A6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1EE845F2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Gói dịch vụ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4FD00F22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Đơn giá (VNĐ)</w:t>
            </w:r>
          </w:p>
        </w:tc>
      </w:tr>
      <w:tr w14:paraId="014F1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11BA318D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2F0BB7E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auto"/>
            <w:vAlign w:val="center"/>
          </w:tcPr>
          <w:p w14:paraId="6F99FB6B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0.000 / tháng</w:t>
            </w:r>
          </w:p>
        </w:tc>
      </w:tr>
      <w:tr w14:paraId="32588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5280F830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38BE3BE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6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750DED6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00.000 / 6 tháng</w:t>
            </w:r>
          </w:p>
        </w:tc>
      </w:tr>
      <w:tr w14:paraId="11066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0A20C00C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257443F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12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auto"/>
            <w:vAlign w:val="center"/>
          </w:tcPr>
          <w:p w14:paraId="785FDF4C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/ 12 tháng</w:t>
            </w:r>
          </w:p>
        </w:tc>
      </w:tr>
      <w:tr w14:paraId="6BAE6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3E18E5EF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5C39CBB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trọn đời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304895FA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(một lần duy nhất)</w:t>
            </w:r>
          </w:p>
        </w:tc>
      </w:tr>
    </w:tbl>
    <w:p w14:paraId="1D8A9AB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Lưu ý: Bảng giá trên chưa bao gồm thuế VAT (nếu có). Bên B có quyền điều chỉnh bảng giá theo từng thời kỳ nhưng phải thông báo trước cho Bên A tối thiểu 30 ngày.</w:t>
      </w:r>
    </w:p>
    <w:p w14:paraId="695ED8F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có hiệu lực cùng ngày với Hợp đồng và là một phần không tách rời của Hợp đồng.</w:t>
      </w:r>
    </w:p>
    <w:p w14:paraId="76B65E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541D0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D4824D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63BA18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7537DE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7B6512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6F78C3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F80C9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077B4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115A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BAE62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</w:tbl>
    <w:p w14:paraId="7866A99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86365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8DF91E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E27A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PHỤ LỤC 2</w:t>
      </w:r>
    </w:p>
    <w:p w14:paraId="32735954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1224280</wp:posOffset>
                </wp:positionH>
                <wp:positionV relativeFrom="paragraph">
                  <wp:posOffset>197485</wp:posOffset>
                </wp:positionV>
                <wp:extent cx="3286125" cy="0"/>
                <wp:effectExtent l="0" t="0" r="0" b="0"/>
                <wp:wrapNone/>
                <wp:docPr id="18694074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61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6" o:spt="20" style="position:absolute;left:0pt;margin-left:96.4pt;margin-top:15.55pt;height:0pt;width:258.75pt;z-index:251662336;mso-width-relative:page;mso-height-relative:page;" filled="f" stroked="t" coordsize="21600,21600" o:gfxdata="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2OIe9tUAAAAJ&#10;AQAADwAAAAAAAAABACAAAAAiAAAAZHJzL2Rvd25yZXYueG1sUEsBAhQAFAAAAAgAh07iQMzSIu/m&#10;AQAA3wMAAA4AAAAAAAAAAQAgAAAAJA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MÔ TẢ CHỨC NĂNG PHẦN MỀM MEDS</w:t>
      </w:r>
    </w:p>
    <w:p w14:paraId="0E36BF7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5AEFF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là một phần không tách rời của Hợp đồng dịch vụ phần mềm số …/HĐDV/2025,  ký ngày …/…/2025 giữa Bên A và Bên B.</w:t>
      </w:r>
    </w:p>
    <w:p w14:paraId="6CB402F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chức năng chính của phần mềm MEDS bao gồm:</w:t>
      </w:r>
    </w:p>
    <w:p w14:paraId="50E26E5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danh mục dịch vụ kỹ thuật (YHCT – PHCN): thiết lập thời lượng, sử dụng máy, nhóm dịch vụ.</w:t>
      </w:r>
    </w:p>
    <w:p w14:paraId="19B094E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nhân viên: phân công theo chuyên môn, khoa phòng, ca làm việc (sáng/chiều), kỹ thuật có thể thực hiện.</w:t>
      </w:r>
    </w:p>
    <w:p w14:paraId="264DB88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máy móc: khai báo mã máy, dịch vụ gắn với máy, tránh trùng lặp trong xếp lịch.</w:t>
      </w:r>
    </w:p>
    <w:p w14:paraId="0EAC5BD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bệnh nhân: nhập, xóa thông tin bệnh nhân, mã hồ sơ, chỉ định dịch vụ.</w:t>
      </w:r>
    </w:p>
    <w:p w14:paraId="054B662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Xếp lịch tự động: hệ thống tự động chia giờ thủ thuật không trùng thời gian nhân viên, bệnh nhân, máy móc.</w:t>
      </w:r>
    </w:p>
    <w:p w14:paraId="389A97F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Xử lý đặc biệt cuối tuần: hệ thống tự động chia giờ thủ thuật không trùng thời gian nhân viên, bệnh nhân, máy móc.</w:t>
      </w:r>
    </w:p>
    <w:p w14:paraId="1DC5E37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y lệnh: tổng hợp chỉ định, nhóm dịch vụ, chia giờ theo khoa YHCT/PHCN.</w:t>
      </w:r>
    </w:p>
    <w:p w14:paraId="4BB3E6D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Xuất bảng KETQUA: kết quả xếp lịch đầy đủ (ngày, giờ, bệnh nhân, dịch vụ, nhân viên, máy móc).</w:t>
      </w:r>
    </w:p>
    <w:p w14:paraId="4FAB3F5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gửi kết quả qua email: gửi file Excel kết quả xếp lịch tới địa chỉ email đã cấu hình.</w:t>
      </w:r>
    </w:p>
    <w:p w14:paraId="77AA9F49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Cấu hình hệ thống: thay đổi tham số (giờ làm việc, nghỉ giữa ca, khoảng cách giữa dịch vụ, số bệnh nhân/nhóm OX...).</w:t>
      </w:r>
    </w:p>
    <w:p w14:paraId="67AD9ED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mật: phân quyền tài khoản, đăng nhập WebApp, quản lý truy cập dữ liệu.</w:t>
      </w:r>
    </w:p>
    <w:p w14:paraId="0AB295F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có hiệu lực cùng ngày với Hợp đồng và là một phần không tách rời của Hợp đồng.</w:t>
      </w:r>
    </w:p>
    <w:p w14:paraId="002FD6A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33A836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649DDA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1AC8BFC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227256C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1777616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59DFF80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3B99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96D9C3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D0EC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B69C4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</w:tbl>
    <w:p w14:paraId="574CA95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6C6EF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sectPr>
      <w:pgSz w:w="11906" w:h="16838"/>
      <w:pgMar w:top="1134" w:right="1134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A3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20C3"/>
    <w:rsid w:val="0006063C"/>
    <w:rsid w:val="0015074B"/>
    <w:rsid w:val="0029639D"/>
    <w:rsid w:val="00326F90"/>
    <w:rsid w:val="006875C1"/>
    <w:rsid w:val="00AA1D8D"/>
    <w:rsid w:val="00B47730"/>
    <w:rsid w:val="00BB5B22"/>
    <w:rsid w:val="00CB0664"/>
    <w:rsid w:val="00D00975"/>
    <w:rsid w:val="00DC1332"/>
    <w:rsid w:val="00E63F66"/>
    <w:rsid w:val="00ED65E5"/>
    <w:rsid w:val="00F864ED"/>
    <w:rsid w:val="00FC693F"/>
    <w:rsid w:val="00FF2CC0"/>
    <w:rsid w:val="047C7F3F"/>
    <w:rsid w:val="5FA1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967</Words>
  <Characters>5518</Characters>
  <Lines>45</Lines>
  <Paragraphs>12</Paragraphs>
  <TotalTime>4</TotalTime>
  <ScaleCrop>false</ScaleCrop>
  <LinksUpToDate>false</LinksUpToDate>
  <CharactersWithSpaces>6473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Le Kieutrinh</cp:lastModifiedBy>
  <dcterms:modified xsi:type="dcterms:W3CDTF">2025-12-18T05:09:06Z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10328BBBD9584218B5AE47C9173F90FC_12</vt:lpwstr>
  </property>
</Properties>
</file>