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00E826A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CỘNG HÒA XÃ HỘI CHỦ NGHĨA VIỆT NAM</w:t>
      </w:r>
    </w:p>
    <w:p w14:paraId="57ADEA2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1811655</wp:posOffset>
                </wp:positionH>
                <wp:positionV relativeFrom="paragraph">
                  <wp:posOffset>203835</wp:posOffset>
                </wp:positionV>
                <wp:extent cx="2084070" cy="0"/>
                <wp:effectExtent l="0" t="0" r="0" b="0"/>
                <wp:wrapNone/>
                <wp:docPr id="154185531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83981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1" o:spid="_x0000_s1026" o:spt="20" style="position:absolute;left:0pt;margin-left:142.65pt;margin-top:16.05pt;height:0pt;width:164.1pt;z-index:251659264;mso-width-relative:page;mso-height-relative:page;" filled="f" stroked="t" coordsize="21600,21600" o:gfxdata="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Times New Roman" w:hAnsi="Times New Roman" w:cs="Times New Roman"/>
          <w:b/>
          <w:sz w:val="28"/>
          <w:szCs w:val="28"/>
        </w:rPr>
        <w:t>Độc lập – Tự do – Hạnh phúc</w:t>
      </w:r>
    </w:p>
    <w:p w14:paraId="45FBFB15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6EDC419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HỢP ĐỒNG DỊCH VỤ</w:t>
      </w:r>
    </w:p>
    <w:p w14:paraId="12CC824A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Số:  /HĐDV/2025</w:t>
      </w:r>
    </w:p>
    <w:p w14:paraId="4AAF1B49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2311400</wp:posOffset>
                </wp:positionH>
                <wp:positionV relativeFrom="paragraph">
                  <wp:posOffset>7620</wp:posOffset>
                </wp:positionV>
                <wp:extent cx="1095375" cy="0"/>
                <wp:effectExtent l="0" t="0" r="0" b="0"/>
                <wp:wrapNone/>
                <wp:docPr id="561516586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95154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" o:spid="_x0000_s1026" o:spt="20" style="position:absolute;left:0pt;margin-left:182pt;margin-top:0.6pt;height:0pt;width:86.25pt;z-index:251660288;mso-width-relative:page;mso-height-relative:page;" filled="f" stroked="t" coordsize="21600,21600" o:gfxdata="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</w:p>
    <w:p w14:paraId="3AB6A785">
      <w:pPr>
        <w:spacing w:after="0"/>
        <w:jc w:val="both"/>
        <w:rPr>
          <w:rFonts w:ascii="Times New Roman" w:hAnsi="Times New Roman" w:cs="Times New Roman"/>
          <w:b/>
          <w:i/>
          <w:iCs/>
          <w:sz w:val="28"/>
          <w:szCs w:val="28"/>
        </w:rPr>
      </w:pPr>
      <w:r>
        <w:rPr>
          <w:rFonts w:ascii="Times New Roman" w:hAnsi="Times New Roman" w:cs="Times New Roman"/>
          <w:b/>
          <w:i/>
          <w:iCs/>
          <w:sz w:val="28"/>
          <w:szCs w:val="28"/>
        </w:rPr>
        <w:t>Căn cứ pháp lý:</w:t>
      </w:r>
    </w:p>
    <w:p w14:paraId="0C4577A8">
      <w:pPr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ab/>
      </w:r>
      <w:r>
        <w:rPr>
          <w:rFonts w:ascii="Times New Roman" w:hAnsi="Times New Roman" w:cs="Times New Roman"/>
          <w:i/>
          <w:iCs/>
          <w:sz w:val="28"/>
          <w:szCs w:val="28"/>
        </w:rPr>
        <w:t>- Bộ luật Dân sự số 91/2015/QH13 ngày 24/11/2015;</w:t>
      </w:r>
    </w:p>
    <w:p w14:paraId="600C0F71">
      <w:pPr>
        <w:pStyle w:val="143"/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- Luật Thương mại số 36/2005/QH11 ngày 14/06/2005;</w:t>
      </w:r>
    </w:p>
    <w:p w14:paraId="49B950B8">
      <w:pPr>
        <w:pStyle w:val="143"/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- Luật Công nghệ thông tin số 67/2006/QH11 ngày 29/06/2006;</w:t>
      </w:r>
    </w:p>
    <w:p w14:paraId="655A878C">
      <w:pPr>
        <w:pStyle w:val="143"/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- Luật Sở hữu trí tuệ số 50/2005/QH11 (sửa đổi, bổ sung 2022);</w:t>
      </w:r>
    </w:p>
    <w:p w14:paraId="23B7AECA">
      <w:pPr>
        <w:pStyle w:val="143"/>
        <w:spacing w:after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- Nhu cầu sử dụng phần mềm của Bên A và khả năng cung cấp dịch vụ phần mềm của Bên B;</w:t>
      </w:r>
    </w:p>
    <w:p w14:paraId="5FA00CA7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05899F0F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Các bên thống nhất ký kết Hợp đồng với các điều khoản sau:</w:t>
      </w:r>
    </w:p>
    <w:p w14:paraId="5DD87F12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Điều 1. Các bên trong hợp đồng</w:t>
      </w:r>
    </w:p>
    <w:p w14:paraId="558FCC73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 Bên A (Bên sử dụng dịch vụ)</w:t>
      </w:r>
    </w:p>
    <w:tbl>
      <w:tblPr>
        <w:tblStyle w:val="44"/>
        <w:tblW w:w="0" w:type="auto"/>
        <w:tblInd w:w="0" w:type="dxa"/>
        <w:tbl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48"/>
        <w:gridCol w:w="6839"/>
      </w:tblGrid>
      <w:tr w14:paraId="5B9BFF2B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none" w:color="auto" w:sz="0" w:space="0"/>
            <w:insideV w:val="none" w:color="auto" w:sz="0" w:space="0"/>
          </w:tblBorders>
        </w:tblPrEx>
        <w:tc>
          <w:tcPr>
            <w:tcW w:w="2448" w:type="dxa"/>
            <w:tcBorders>
              <w:right w:val="single" w:color="auto" w:sz="4" w:space="0"/>
            </w:tcBorders>
            <w:shd w:val="clear" w:color="auto" w:fill="EEECE1" w:themeFill="background2"/>
          </w:tcPr>
          <w:p w14:paraId="08A33BBC">
            <w:pPr>
              <w:spacing w:before="0" w:after="0" w:line="276" w:lineRule="auto"/>
              <w:jc w:val="both"/>
              <w:rPr>
                <w:rFonts w:ascii="Times New Roman" w:hAnsi="Times New Roman" w:cs="Times New Roman"/>
                <w:b/>
                <w:bCs/>
                <w:color w:val="auto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auto"/>
                <w:sz w:val="28"/>
                <w:szCs w:val="28"/>
              </w:rPr>
              <w:t>Tên đơn vị</w:t>
            </w:r>
          </w:p>
        </w:tc>
        <w:tc>
          <w:tcPr>
            <w:tcW w:w="6839" w:type="dxa"/>
            <w:tcBorders>
              <w:top w:val="single" w:color="000000" w:themeColor="text1" w:sz="8" w:space="0"/>
              <w:left w:val="single" w:color="auto" w:sz="4" w:space="0"/>
              <w:bottom w:val="single" w:color="000000" w:themeColor="text1" w:sz="8" w:space="0"/>
            </w:tcBorders>
            <w:shd w:val="clear" w:color="auto" w:fill="EEECE1" w:themeFill="background2"/>
          </w:tcPr>
          <w:p w14:paraId="79375A9C">
            <w:pPr>
              <w:spacing w:before="0" w:after="0" w:line="276" w:lineRule="auto"/>
              <w:jc w:val="both"/>
              <w:rPr>
                <w:rFonts w:ascii="Times New Roman" w:hAnsi="Times New Roman" w:cs="Times New Roman"/>
                <w:b/>
                <w:bCs/>
                <w:color w:val="auto"/>
                <w:sz w:val="28"/>
                <w:szCs w:val="28"/>
              </w:rPr>
            </w:pPr>
          </w:p>
        </w:tc>
      </w:tr>
      <w:tr w14:paraId="3A3234A6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48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auto" w:sz="4" w:space="0"/>
              <w:insideH w:val="single" w:sz="8" w:space="0"/>
            </w:tcBorders>
          </w:tcPr>
          <w:p w14:paraId="0A98EF10">
            <w:pPr>
              <w:spacing w:after="0" w:line="276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Địa chỉ</w:t>
            </w:r>
          </w:p>
        </w:tc>
        <w:tc>
          <w:tcPr>
            <w:tcW w:w="6839" w:type="dxa"/>
            <w:tcBorders>
              <w:top w:val="single" w:color="000000" w:themeColor="text1" w:sz="8" w:space="0"/>
              <w:left w:val="single" w:color="auto" w:sz="4" w:space="0"/>
              <w:bottom w:val="single" w:color="000000" w:themeColor="text1" w:sz="8" w:space="0"/>
              <w:right w:val="single" w:color="000000" w:themeColor="text1" w:sz="8" w:space="0"/>
              <w:insideH w:val="single" w:sz="8" w:space="0"/>
            </w:tcBorders>
          </w:tcPr>
          <w:p w14:paraId="2817F582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14:paraId="49757780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48" w:type="dxa"/>
            <w:tcBorders>
              <w:right w:val="single" w:color="auto" w:sz="4" w:space="0"/>
            </w:tcBorders>
          </w:tcPr>
          <w:p w14:paraId="331A9587">
            <w:pPr>
              <w:spacing w:after="0" w:line="276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Mã số thuế</w:t>
            </w:r>
          </w:p>
        </w:tc>
        <w:tc>
          <w:tcPr>
            <w:tcW w:w="6839" w:type="dxa"/>
            <w:tcBorders>
              <w:top w:val="single" w:color="000000" w:themeColor="text1" w:sz="8" w:space="0"/>
              <w:left w:val="single" w:color="auto" w:sz="4" w:space="0"/>
              <w:bottom w:val="single" w:color="000000" w:themeColor="text1" w:sz="8" w:space="0"/>
            </w:tcBorders>
          </w:tcPr>
          <w:p w14:paraId="1DE731FD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14:paraId="15597B05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48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auto" w:sz="4" w:space="0"/>
              <w:insideH w:val="single" w:sz="8" w:space="0"/>
            </w:tcBorders>
          </w:tcPr>
          <w:p w14:paraId="3A763301">
            <w:pPr>
              <w:spacing w:after="0" w:line="276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Đại diện</w:t>
            </w:r>
          </w:p>
        </w:tc>
        <w:tc>
          <w:tcPr>
            <w:tcW w:w="6839" w:type="dxa"/>
            <w:tcBorders>
              <w:top w:val="single" w:color="000000" w:themeColor="text1" w:sz="8" w:space="0"/>
              <w:left w:val="single" w:color="auto" w:sz="4" w:space="0"/>
              <w:bottom w:val="single" w:color="000000" w:themeColor="text1" w:sz="8" w:space="0"/>
              <w:right w:val="single" w:color="000000" w:themeColor="text1" w:sz="8" w:space="0"/>
              <w:insideH w:val="single" w:sz="8" w:space="0"/>
            </w:tcBorders>
          </w:tcPr>
          <w:p w14:paraId="638F8E78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14:paraId="47DD4770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48" w:type="dxa"/>
            <w:tcBorders>
              <w:right w:val="single" w:color="auto" w:sz="4" w:space="0"/>
            </w:tcBorders>
          </w:tcPr>
          <w:p w14:paraId="71A14D08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Chức vụ</w:t>
            </w:r>
          </w:p>
        </w:tc>
        <w:tc>
          <w:tcPr>
            <w:tcW w:w="6839" w:type="dxa"/>
            <w:tcBorders>
              <w:top w:val="single" w:color="000000" w:themeColor="text1" w:sz="8" w:space="0"/>
              <w:left w:val="single" w:color="auto" w:sz="4" w:space="0"/>
              <w:bottom w:val="single" w:color="000000" w:themeColor="text1" w:sz="8" w:space="0"/>
            </w:tcBorders>
          </w:tcPr>
          <w:p w14:paraId="5415154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14:paraId="0B5936F2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48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auto" w:sz="4" w:space="0"/>
              <w:insideH w:val="single" w:sz="8" w:space="0"/>
            </w:tcBorders>
          </w:tcPr>
          <w:p w14:paraId="24D13819">
            <w:pPr>
              <w:spacing w:after="0" w:line="276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Điện thoại</w:t>
            </w:r>
          </w:p>
        </w:tc>
        <w:tc>
          <w:tcPr>
            <w:tcW w:w="6839" w:type="dxa"/>
            <w:tcBorders>
              <w:top w:val="single" w:color="000000" w:themeColor="text1" w:sz="8" w:space="0"/>
              <w:left w:val="single" w:color="auto" w:sz="4" w:space="0"/>
              <w:bottom w:val="single" w:color="000000" w:themeColor="text1" w:sz="8" w:space="0"/>
              <w:right w:val="single" w:color="000000" w:themeColor="text1" w:sz="8" w:space="0"/>
              <w:insideH w:val="single" w:sz="8" w:space="0"/>
            </w:tcBorders>
          </w:tcPr>
          <w:p w14:paraId="0961E34A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14:paraId="0E1A519B">
        <w:tblPrEx>
          <w:tblBorders>
            <w:top w:val="single" w:color="000000" w:themeColor="text1" w:sz="8" w:space="0"/>
            <w:left w:val="single" w:color="000000" w:themeColor="text1" w:sz="8" w:space="0"/>
            <w:bottom w:val="single" w:color="000000" w:themeColor="text1" w:sz="8" w:space="0"/>
            <w:right w:val="single" w:color="000000" w:themeColor="text1" w:sz="8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48" w:type="dxa"/>
            <w:tcBorders>
              <w:right w:val="single" w:color="auto" w:sz="4" w:space="0"/>
            </w:tcBorders>
          </w:tcPr>
          <w:p w14:paraId="6A63936E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Email</w:t>
            </w:r>
          </w:p>
        </w:tc>
        <w:tc>
          <w:tcPr>
            <w:tcW w:w="6839" w:type="dxa"/>
            <w:tcBorders>
              <w:top w:val="single" w:color="000000" w:themeColor="text1" w:sz="8" w:space="0"/>
              <w:left w:val="single" w:color="auto" w:sz="4" w:space="0"/>
              <w:bottom w:val="single" w:color="000000" w:themeColor="text1" w:sz="8" w:space="0"/>
            </w:tcBorders>
          </w:tcPr>
          <w:p w14:paraId="091BE484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53924B4E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 Bên B (Bên cung cấp dịch vụ)</w:t>
      </w:r>
    </w:p>
    <w:tbl>
      <w:tblPr>
        <w:tblStyle w:val="4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48"/>
        <w:gridCol w:w="6839"/>
      </w:tblGrid>
      <w:tr w14:paraId="408B86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48" w:type="dxa"/>
            <w:shd w:val="clear" w:color="auto" w:fill="EEECE1" w:themeFill="background2"/>
          </w:tcPr>
          <w:p w14:paraId="2E5FD65D">
            <w:pPr>
              <w:spacing w:before="0" w:after="0" w:line="276" w:lineRule="auto"/>
              <w:jc w:val="both"/>
              <w:rPr>
                <w:rFonts w:ascii="Times New Roman" w:hAnsi="Times New Roman" w:cs="Times New Roman"/>
                <w:b/>
                <w:bCs/>
                <w:color w:val="auto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auto"/>
                <w:sz w:val="28"/>
                <w:szCs w:val="28"/>
              </w:rPr>
              <w:t>Tên đơn vị</w:t>
            </w:r>
          </w:p>
        </w:tc>
        <w:tc>
          <w:tcPr>
            <w:tcW w:w="6839" w:type="dxa"/>
            <w:shd w:val="clear" w:color="auto" w:fill="EEECE1" w:themeFill="background2"/>
          </w:tcPr>
          <w:p w14:paraId="2DAF7E42">
            <w:pPr>
              <w:spacing w:before="0" w:after="0" w:line="276" w:lineRule="auto"/>
              <w:jc w:val="both"/>
              <w:rPr>
                <w:rFonts w:ascii="Times New Roman" w:hAnsi="Times New Roman" w:cs="Times New Roman"/>
                <w:b/>
                <w:bCs/>
                <w:color w:val="auto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auto"/>
                <w:sz w:val="28"/>
                <w:szCs w:val="28"/>
              </w:rPr>
              <w:t>CÔNG TY TNHH TM &amp; DV LÂM THẮNG PHÁT</w:t>
            </w:r>
          </w:p>
        </w:tc>
      </w:tr>
      <w:tr w14:paraId="13AA3F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48" w:type="dxa"/>
            <w:tcBorders>
              <w:top w:val="nil"/>
              <w:left w:val="nil"/>
              <w:bottom w:val="nil"/>
            </w:tcBorders>
          </w:tcPr>
          <w:p w14:paraId="43C5752B">
            <w:pPr>
              <w:spacing w:after="0" w:line="276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Địa chỉ</w:t>
            </w:r>
          </w:p>
        </w:tc>
        <w:tc>
          <w:tcPr>
            <w:tcW w:w="6839" w:type="dxa"/>
            <w:tcBorders>
              <w:top w:val="nil"/>
              <w:bottom w:val="nil"/>
              <w:right w:val="nil"/>
            </w:tcBorders>
          </w:tcPr>
          <w:p w14:paraId="092CB862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Thôn Tam Hòa, xã Hà Nha, Tp Đà Nẵng</w:t>
            </w:r>
          </w:p>
        </w:tc>
      </w:tr>
      <w:tr w14:paraId="0D893E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48" w:type="dxa"/>
          </w:tcPr>
          <w:p w14:paraId="054758D4">
            <w:pPr>
              <w:spacing w:after="0" w:line="276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Mã số thuế</w:t>
            </w:r>
          </w:p>
        </w:tc>
        <w:tc>
          <w:tcPr>
            <w:tcW w:w="6839" w:type="dxa"/>
          </w:tcPr>
          <w:p w14:paraId="1D277391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4001299968</w:t>
            </w:r>
          </w:p>
        </w:tc>
      </w:tr>
      <w:tr w14:paraId="7A4C55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48" w:type="dxa"/>
            <w:tcBorders>
              <w:top w:val="nil"/>
              <w:left w:val="nil"/>
              <w:bottom w:val="nil"/>
            </w:tcBorders>
          </w:tcPr>
          <w:p w14:paraId="6521DB52">
            <w:pPr>
              <w:spacing w:after="0" w:line="276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Đại diện</w:t>
            </w:r>
          </w:p>
        </w:tc>
        <w:tc>
          <w:tcPr>
            <w:tcW w:w="6839" w:type="dxa"/>
            <w:tcBorders>
              <w:top w:val="nil"/>
              <w:bottom w:val="nil"/>
              <w:right w:val="nil"/>
            </w:tcBorders>
          </w:tcPr>
          <w:p w14:paraId="5EE7B65F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Hồ Vũ Việt Thắng</w:t>
            </w:r>
          </w:p>
        </w:tc>
      </w:tr>
      <w:tr w14:paraId="69F20B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48" w:type="dxa"/>
          </w:tcPr>
          <w:p w14:paraId="5A99FDF4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Chức vụ</w:t>
            </w:r>
          </w:p>
        </w:tc>
        <w:tc>
          <w:tcPr>
            <w:tcW w:w="6839" w:type="dxa"/>
          </w:tcPr>
          <w:p w14:paraId="60B063D0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Giám đốc</w:t>
            </w:r>
          </w:p>
        </w:tc>
      </w:tr>
      <w:tr w14:paraId="5C68DB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48" w:type="dxa"/>
            <w:tcBorders>
              <w:top w:val="nil"/>
              <w:left w:val="nil"/>
              <w:bottom w:val="nil"/>
            </w:tcBorders>
          </w:tcPr>
          <w:p w14:paraId="5D8058D1">
            <w:pPr>
              <w:spacing w:after="0" w:line="276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Điện thoại</w:t>
            </w:r>
          </w:p>
        </w:tc>
        <w:tc>
          <w:tcPr>
            <w:tcW w:w="6839" w:type="dxa"/>
            <w:tcBorders>
              <w:top w:val="nil"/>
              <w:bottom w:val="nil"/>
              <w:right w:val="nil"/>
            </w:tcBorders>
          </w:tcPr>
          <w:p w14:paraId="1FDC2AF6">
            <w:pPr>
              <w:spacing w:after="0" w:line="276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0345056117</w:t>
            </w:r>
          </w:p>
        </w:tc>
      </w:tr>
      <w:tr w14:paraId="619815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48" w:type="dxa"/>
          </w:tcPr>
          <w:p w14:paraId="1FA5FAA2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Email</w:t>
            </w:r>
          </w:p>
        </w:tc>
        <w:tc>
          <w:tcPr>
            <w:tcW w:w="6839" w:type="dxa"/>
          </w:tcPr>
          <w:p w14:paraId="3D8CE774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3DB80B45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(Sau đây gọi chung là “Các Bên”, gọi riêng là “Bên A” và “Bên B”).</w:t>
      </w:r>
    </w:p>
    <w:p w14:paraId="6C422122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Điều 2. Đối tượng hợp đồng</w:t>
      </w:r>
    </w:p>
    <w:p w14:paraId="3FFE187A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Bên B cung cấp cho Bên A quyền sử dụng phần mềm quản lý và chia giờ dịch vụ kỹ thuật MEDS (sau đây gọi là “Phần mềm”) theo mô hình dịch vụ SaaS (Software as a Service), phần mềm được cung cấp dưới dạng dịch vụ qua internet thay vì cài đặt trên máy tính của người dùng.</w:t>
      </w:r>
    </w:p>
    <w:p w14:paraId="11FDD55E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Phạm vi bao gồm:</w:t>
      </w:r>
    </w:p>
    <w:p w14:paraId="51EF30D8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Quyền truy cập và sử dụng Phần mềm theo tài khoản do Bên B cấp trong thời hạn hợp đồng;</w:t>
      </w:r>
    </w:p>
    <w:p w14:paraId="6031A310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Cập nhật, nâng cấp, sửa lỗi trong thời hạn hợp đồng;</w:t>
      </w:r>
    </w:p>
    <w:p w14:paraId="7CC4118D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Hỗ trợ kỹ thuật trực tuyến cho Bên A theo Điều 3.</w:t>
      </w:r>
    </w:p>
    <w:p w14:paraId="08E24F07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Điều 3. Phạm vi dịch vụ</w:t>
      </w:r>
    </w:p>
    <w:p w14:paraId="6CFE7C4F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Bên B đảm bảo Phần mềm vận hành đúng chức năng mô tả tại Phụ lục hợp đồng 2;</w:t>
      </w:r>
    </w:p>
    <w:p w14:paraId="79F3C873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Bên B cung cấp đào tạo/hướng dẫn sử dụng cho cán bộ được chỉ định của Bên A;</w:t>
      </w:r>
    </w:p>
    <w:p w14:paraId="185DD765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Hỗ trợ kỹ thuật qua điện thoại/email/Zalo trong vòng 24 tiếng;</w:t>
      </w:r>
    </w:p>
    <w:p w14:paraId="69EF3E2F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Bên A chỉ được sử dụng Phần mềm cho mục đích nội bộ, không chuyển giao cho bên thứ ba khi chưa có chấp thuận bằng văn bản của Bên B.</w:t>
      </w:r>
    </w:p>
    <w:p w14:paraId="1A318F55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Điều 4. Thời hạn hợp đồng</w:t>
      </w:r>
    </w:p>
    <w:p w14:paraId="7A5465D3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Hợp đồng có hiệu lực từ ngày …/…/2025 đến hết ngày …/…/2025</w:t>
      </w:r>
    </w:p>
    <w:p w14:paraId="4E6964CA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Hợp đồng được gia hạn bằng hợp đồng mới.</w:t>
      </w:r>
    </w:p>
    <w:p w14:paraId="3C4C7AF1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Điều 5. Giá trị và phương thức thanh toán</w:t>
      </w:r>
    </w:p>
    <w:p w14:paraId="5D15360F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 Giá trị dịch vụ: ……………..VNĐ (theo bảng giá kèm Phụ lục 1).</w:t>
      </w:r>
    </w:p>
    <w:p w14:paraId="11C7B45F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 Bảng giá:</w:t>
      </w:r>
    </w:p>
    <w:tbl>
      <w:tblPr>
        <w:tblStyle w:val="5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97"/>
        <w:gridCol w:w="5716"/>
        <w:gridCol w:w="1174"/>
      </w:tblGrid>
      <w:tr w14:paraId="3FA368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90" w:type="pct"/>
            <w:tcBorders>
              <w:top w:val="nil"/>
              <w:left w:val="nil"/>
              <w:bottom w:val="nil"/>
              <w:right w:val="single" w:color="000000" w:themeColor="text1" w:sz="8" w:space="0"/>
              <w:insideV w:val="single" w:sz="8" w:space="0"/>
            </w:tcBorders>
            <w:shd w:val="clear" w:color="auto" w:fill="FFFFFF" w:themeFill="background1"/>
            <w:vAlign w:val="center"/>
          </w:tcPr>
          <w:p w14:paraId="355F4899">
            <w:pPr>
              <w:spacing w:before="0" w:after="0" w:line="276" w:lineRule="auto"/>
              <w:jc w:val="center"/>
              <w:rPr>
                <w:rFonts w:ascii="Times New Roman" w:hAnsi="Times New Roman" w:cs="Times New Roman" w:eastAsiaTheme="majorEastAsia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 w:eastAsiaTheme="majorEastAsia"/>
                <w:b/>
                <w:bCs/>
                <w:sz w:val="28"/>
                <w:szCs w:val="28"/>
              </w:rPr>
              <w:t>Tên gói</w:t>
            </w:r>
          </w:p>
        </w:tc>
        <w:tc>
          <w:tcPr>
            <w:tcW w:w="3077" w:type="pct"/>
            <w:tcBorders>
              <w:top w:val="nil"/>
              <w:left w:val="nil"/>
              <w:bottom w:val="nil"/>
              <w:right w:val="single" w:color="000000" w:themeColor="text1" w:sz="8" w:space="0"/>
              <w:insideV w:val="single" w:sz="8" w:space="0"/>
            </w:tcBorders>
            <w:shd w:val="clear" w:color="auto" w:fill="FFFFFF" w:themeFill="background1"/>
            <w:vAlign w:val="center"/>
          </w:tcPr>
          <w:p w14:paraId="2370F63E">
            <w:pPr>
              <w:spacing w:before="0" w:after="0" w:line="276" w:lineRule="auto"/>
              <w:jc w:val="center"/>
              <w:rPr>
                <w:rFonts w:ascii="Times New Roman" w:hAnsi="Times New Roman" w:cs="Times New Roman" w:eastAsiaTheme="majorEastAsia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 w:eastAsiaTheme="majorEastAsia"/>
                <w:b/>
                <w:bCs/>
                <w:sz w:val="28"/>
                <w:szCs w:val="28"/>
              </w:rPr>
              <w:t>Bảng giá</w:t>
            </w:r>
          </w:p>
        </w:tc>
        <w:tc>
          <w:tcPr>
            <w:tcW w:w="632" w:type="pct"/>
            <w:tcBorders>
              <w:top w:val="nil"/>
              <w:left w:val="nil"/>
              <w:bottom w:val="nil"/>
              <w:right w:val="nil"/>
              <w:insideV w:val="single" w:sz="8" w:space="0"/>
            </w:tcBorders>
            <w:shd w:val="clear" w:color="auto" w:fill="FFFFFF" w:themeFill="background1"/>
            <w:vAlign w:val="center"/>
          </w:tcPr>
          <w:p w14:paraId="7382CD34">
            <w:pPr>
              <w:spacing w:before="0" w:after="0" w:line="240" w:lineRule="auto"/>
              <w:jc w:val="center"/>
              <w:rPr>
                <w:rFonts w:ascii="Times New Roman" w:hAnsi="Times New Roman" w:cs="Times New Roman" w:eastAsiaTheme="majorEastAsia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 w:eastAsiaTheme="majorEastAsia"/>
                <w:b/>
                <w:bCs/>
                <w:sz w:val="28"/>
                <w:szCs w:val="28"/>
              </w:rPr>
              <w:t>Chọn</w:t>
            </w:r>
          </w:p>
        </w:tc>
      </w:tr>
      <w:tr w14:paraId="12C3F3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90" w:type="pct"/>
            <w:tcBorders>
              <w:top w:val="nil"/>
              <w:left w:val="nil"/>
              <w:bottom w:val="nil"/>
              <w:right w:val="single" w:color="000000" w:themeColor="text1" w:sz="8" w:space="0"/>
              <w:insideV w:val="single" w:sz="8" w:space="0"/>
            </w:tcBorders>
            <w:shd w:val="clear" w:color="auto" w:fill="FFFFFF" w:themeFill="background1"/>
            <w:vAlign w:val="center"/>
          </w:tcPr>
          <w:p w14:paraId="00AE7E28">
            <w:pPr>
              <w:spacing w:after="0" w:line="240" w:lineRule="auto"/>
              <w:rPr>
                <w:rFonts w:ascii="Times New Roman" w:hAnsi="Times New Roman" w:cs="Times New Roman" w:eastAsiaTheme="majorEastAsia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cs="Times New Roman" w:eastAsiaTheme="majorEastAsia"/>
                <w:b w:val="0"/>
                <w:bCs w:val="0"/>
                <w:sz w:val="28"/>
                <w:szCs w:val="28"/>
              </w:rPr>
              <w:t>Gói 1 tháng</w:t>
            </w:r>
          </w:p>
        </w:tc>
        <w:tc>
          <w:tcPr>
            <w:tcW w:w="3077" w:type="pct"/>
            <w:tcBorders>
              <w:top w:val="nil"/>
              <w:left w:val="nil"/>
              <w:bottom w:val="nil"/>
              <w:right w:val="single" w:color="000000" w:themeColor="text1" w:sz="8" w:space="0"/>
              <w:insideV w:val="single" w:sz="8" w:space="0"/>
            </w:tcBorders>
            <w:shd w:val="clear" w:color="auto" w:fill="FFFFFF" w:themeFill="background1"/>
            <w:vAlign w:val="center"/>
          </w:tcPr>
          <w:p w14:paraId="412A672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50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0.000 VNĐ/tháng</w:t>
            </w:r>
          </w:p>
        </w:tc>
        <w:tc>
          <w:tcPr>
            <w:tcW w:w="632" w:type="pct"/>
            <w:tcBorders>
              <w:top w:val="nil"/>
              <w:left w:val="nil"/>
              <w:bottom w:val="nil"/>
              <w:right w:val="nil"/>
              <w:insideV w:val="single" w:sz="8" w:space="0"/>
            </w:tcBorders>
            <w:shd w:val="clear" w:color="auto" w:fill="FFFFFF" w:themeFill="background1"/>
            <w:vAlign w:val="center"/>
          </w:tcPr>
          <w:p w14:paraId="3E58F80E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14:paraId="1E88C8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90" w:type="pct"/>
            <w:tcBorders>
              <w:top w:val="nil"/>
              <w:left w:val="nil"/>
              <w:bottom w:val="nil"/>
              <w:right w:val="single" w:color="000000" w:themeColor="text1" w:sz="8" w:space="0"/>
              <w:insideV w:val="single" w:sz="8" w:space="0"/>
            </w:tcBorders>
            <w:shd w:val="clear" w:color="auto" w:fill="FFFFFF" w:themeFill="background1"/>
            <w:vAlign w:val="center"/>
          </w:tcPr>
          <w:p w14:paraId="7ADEE8B8">
            <w:pPr>
              <w:spacing w:after="0" w:line="276" w:lineRule="auto"/>
              <w:rPr>
                <w:rFonts w:ascii="Times New Roman" w:hAnsi="Times New Roman" w:cs="Times New Roman" w:eastAsiaTheme="majorEastAsia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cs="Times New Roman" w:eastAsiaTheme="majorEastAsia"/>
                <w:b w:val="0"/>
                <w:bCs w:val="0"/>
                <w:sz w:val="28"/>
                <w:szCs w:val="28"/>
              </w:rPr>
              <w:t>Gói 6 tháng</w:t>
            </w:r>
          </w:p>
        </w:tc>
        <w:tc>
          <w:tcPr>
            <w:tcW w:w="3077" w:type="pct"/>
            <w:tcBorders>
              <w:top w:val="nil"/>
              <w:left w:val="nil"/>
              <w:bottom w:val="nil"/>
              <w:right w:val="single" w:color="000000" w:themeColor="text1" w:sz="8" w:space="0"/>
              <w:insideV w:val="single" w:sz="8" w:space="0"/>
            </w:tcBorders>
            <w:shd w:val="clear" w:color="auto" w:fill="FFFFFF" w:themeFill="background1"/>
            <w:vAlign w:val="center"/>
          </w:tcPr>
          <w:p w14:paraId="5492CB29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2.5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00.000 VNĐ/6 tháng</w:t>
            </w:r>
          </w:p>
        </w:tc>
        <w:tc>
          <w:tcPr>
            <w:tcW w:w="632" w:type="pct"/>
            <w:tcBorders>
              <w:top w:val="nil"/>
              <w:left w:val="nil"/>
              <w:bottom w:val="nil"/>
              <w:right w:val="nil"/>
              <w:insideV w:val="single" w:sz="8" w:space="0"/>
            </w:tcBorders>
            <w:shd w:val="clear" w:color="auto" w:fill="FFFFFF" w:themeFill="background1"/>
            <w:vAlign w:val="center"/>
          </w:tcPr>
          <w:p w14:paraId="50EA89E0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14:paraId="4FF4ED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290" w:type="pct"/>
            <w:tcBorders>
              <w:top w:val="nil"/>
              <w:left w:val="nil"/>
              <w:bottom w:val="nil"/>
              <w:right w:val="single" w:color="000000" w:themeColor="text1" w:sz="8" w:space="0"/>
              <w:insideV w:val="single" w:sz="8" w:space="0"/>
            </w:tcBorders>
            <w:shd w:val="clear" w:color="auto" w:fill="FFFFFF" w:themeFill="background1"/>
            <w:vAlign w:val="center"/>
          </w:tcPr>
          <w:p w14:paraId="0081945A">
            <w:pPr>
              <w:spacing w:after="0" w:line="276" w:lineRule="auto"/>
              <w:rPr>
                <w:rFonts w:ascii="Times New Roman" w:hAnsi="Times New Roman" w:cs="Times New Roman" w:eastAsiaTheme="majorEastAsia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cs="Times New Roman" w:eastAsiaTheme="majorEastAsia"/>
                <w:b w:val="0"/>
                <w:bCs w:val="0"/>
                <w:sz w:val="28"/>
                <w:szCs w:val="28"/>
              </w:rPr>
              <w:t>Gói 12 tháng</w:t>
            </w:r>
          </w:p>
        </w:tc>
        <w:tc>
          <w:tcPr>
            <w:tcW w:w="3077" w:type="pct"/>
            <w:tcBorders>
              <w:top w:val="nil"/>
              <w:left w:val="nil"/>
              <w:bottom w:val="nil"/>
              <w:right w:val="single" w:color="000000" w:themeColor="text1" w:sz="8" w:space="0"/>
              <w:insideV w:val="single" w:sz="8" w:space="0"/>
            </w:tcBorders>
            <w:shd w:val="clear" w:color="auto" w:fill="FFFFFF" w:themeFill="background1"/>
            <w:vAlign w:val="center"/>
          </w:tcPr>
          <w:p w14:paraId="0624E1BE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5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.000.000 VNĐ/12 tháng</w:t>
            </w:r>
          </w:p>
        </w:tc>
        <w:tc>
          <w:tcPr>
            <w:tcW w:w="632" w:type="pct"/>
            <w:tcBorders>
              <w:top w:val="nil"/>
              <w:left w:val="nil"/>
              <w:bottom w:val="nil"/>
              <w:right w:val="nil"/>
              <w:insideV w:val="single" w:sz="8" w:space="0"/>
            </w:tcBorders>
            <w:shd w:val="clear" w:color="auto" w:fill="FFFFFF" w:themeFill="background1"/>
            <w:vAlign w:val="center"/>
          </w:tcPr>
          <w:p w14:paraId="454C7D95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14:paraId="780363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90" w:type="pct"/>
            <w:tcBorders>
              <w:top w:val="nil"/>
              <w:left w:val="nil"/>
              <w:bottom w:val="nil"/>
              <w:right w:val="single" w:color="000000" w:themeColor="text1" w:sz="8" w:space="0"/>
              <w:insideV w:val="single" w:sz="8" w:space="0"/>
            </w:tcBorders>
            <w:shd w:val="clear" w:color="auto" w:fill="FFFFFF" w:themeFill="background1"/>
            <w:vAlign w:val="center"/>
          </w:tcPr>
          <w:p w14:paraId="024709D2">
            <w:pPr>
              <w:spacing w:after="0" w:line="276" w:lineRule="auto"/>
              <w:rPr>
                <w:rFonts w:ascii="Times New Roman" w:hAnsi="Times New Roman" w:cs="Times New Roman" w:eastAsiaTheme="majorEastAsia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 w:cs="Times New Roman" w:eastAsiaTheme="majorEastAsia"/>
                <w:b w:val="0"/>
                <w:bCs w:val="0"/>
                <w:sz w:val="28"/>
                <w:szCs w:val="28"/>
              </w:rPr>
              <w:t>Gói trọn đời</w:t>
            </w:r>
          </w:p>
        </w:tc>
        <w:tc>
          <w:tcPr>
            <w:tcW w:w="3077" w:type="pct"/>
            <w:tcBorders>
              <w:top w:val="nil"/>
              <w:left w:val="nil"/>
              <w:bottom w:val="nil"/>
              <w:right w:val="single" w:color="000000" w:themeColor="text1" w:sz="8" w:space="0"/>
              <w:insideV w:val="single" w:sz="8" w:space="0"/>
            </w:tcBorders>
            <w:shd w:val="clear" w:color="auto" w:fill="FFFFFF" w:themeFill="background1"/>
            <w:vAlign w:val="center"/>
          </w:tcPr>
          <w:p w14:paraId="7A505CC1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5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.000.000 VNĐ (1 lần duy nhất)</w:t>
            </w:r>
          </w:p>
        </w:tc>
        <w:tc>
          <w:tcPr>
            <w:tcW w:w="632" w:type="pct"/>
            <w:tcBorders>
              <w:top w:val="nil"/>
              <w:left w:val="nil"/>
              <w:bottom w:val="nil"/>
              <w:right w:val="nil"/>
              <w:insideV w:val="single" w:sz="8" w:space="0"/>
            </w:tcBorders>
            <w:shd w:val="clear" w:color="auto" w:fill="FFFFFF" w:themeFill="background1"/>
            <w:vAlign w:val="center"/>
          </w:tcPr>
          <w:p w14:paraId="558B27EB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350970F6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 Hình thức thanh </w:t>
      </w:r>
      <w:bookmarkStart w:id="1" w:name="_GoBack"/>
      <w:bookmarkEnd w:id="1"/>
      <w:r>
        <w:rPr>
          <w:rFonts w:ascii="Times New Roman" w:hAnsi="Times New Roman" w:cs="Times New Roman"/>
          <w:sz w:val="28"/>
          <w:szCs w:val="28"/>
        </w:rPr>
        <w:t>toán: Chuyển khoản vào tài khoản của Bên B.</w:t>
      </w:r>
    </w:p>
    <w:p w14:paraId="08927780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 Thời hạn thanh toán: Trong vòng 30 ngày kể từ ngày ký hợp đồng/hóa đơn.</w:t>
      </w:r>
    </w:p>
    <w:p w14:paraId="75FF1A93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Điều 6. Quyền và nghĩa vụ của Bên A</w:t>
      </w:r>
    </w:p>
    <w:p w14:paraId="56AB78A1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Thanh toán đủ và đúng hạn theo Điều 5;</w:t>
      </w:r>
    </w:p>
    <w:p w14:paraId="0B3FA2D1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Cung cấp thông tin cần thiết để Bên B triển khai dịch vụ;</w:t>
      </w:r>
    </w:p>
    <w:p w14:paraId="2355D5BD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Bảo mật tài khoản truy cập;</w:t>
      </w:r>
    </w:p>
    <w:p w14:paraId="2EF574C6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Không sao chép, phân phối, chỉnh sửa, dịch ngược Phần mềm khi chưa có chấp thuận của Bên B.</w:t>
      </w:r>
    </w:p>
    <w:p w14:paraId="69D3A674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Điều 7. Quyền và nghĩa vụ của Bên B</w:t>
      </w:r>
    </w:p>
    <w:p w14:paraId="77A59C2F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Cung cấp Phần mềm đúng thỏa thuận, hỗ trợ kỹ thuật trong thời hạn hợp đồng;</w:t>
      </w:r>
    </w:p>
    <w:p w14:paraId="2765B46E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Bảo mật dữ liệu của Bên A; chỉ sử dụng dữ liệu cho mục đích kỹ thuật, không tiết lộ cho bên thứ ba trừ khi có sự đồng ý của Bên A hoặc theo yêu cầu cơ quan có thẩm quyền;</w:t>
      </w:r>
    </w:p>
    <w:p w14:paraId="03C7B575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Cung cấp hóa đơn, chứng từ hợp lệ;</w:t>
      </w:r>
    </w:p>
    <w:p w14:paraId="1F8906A6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Thông báo trước cho Bên A khi có thay đổi về dịch vụ.</w:t>
      </w:r>
    </w:p>
    <w:p w14:paraId="72E8D8D7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Điều 8. Bảo mật thông tin và dữ liệu</w:t>
      </w:r>
    </w:p>
    <w:p w14:paraId="69D3AEA8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Các Bên cam kết bảo mật thông tin hợp đồng và dữ liệu phát sinh trong quá trình sử dụng Phần mềm;</w:t>
      </w:r>
    </w:p>
    <w:p w14:paraId="78E05B4A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Chỉ cung cấp cho bên thứ ba khi có sự đồng ý bằng văn bản của Bên còn lại hoặc theo yêu cầu bằng văn bản của cơ quan nhà nước có thẩm quyền;</w:t>
      </w:r>
    </w:p>
    <w:p w14:paraId="521B142D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Khi chấm dứt hợp đồng, Bên B sẽ cung cấp bản sao dữ liệu cho Bên A nếu có yêu cầu.</w:t>
      </w:r>
    </w:p>
    <w:p w14:paraId="3CF0D648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Điều 9. Chấm dứt hợp đồng</w:t>
      </w:r>
    </w:p>
    <w:p w14:paraId="7E5949B7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Hết thời hạn hợp đồng mà không gia hạn;</w:t>
      </w:r>
    </w:p>
    <w:p w14:paraId="426DEF36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Các Bên thỏa thuận chấm dứt trước hạn;</w:t>
      </w:r>
    </w:p>
    <w:p w14:paraId="0E7EBCAB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Một Bên vi phạm nghiêm trọng nghĩa vụ và không khắc phục trong vòng 15 ngày kể từ ngày được thông báo.</w:t>
      </w:r>
    </w:p>
    <w:p w14:paraId="5E17291B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Điều 10. Giải quyết tranh chấp</w:t>
      </w:r>
    </w:p>
    <w:p w14:paraId="3990E4CC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Tranh chấp phát sinh được ưu tiên giải quyết bằng thương lượng, hòa giải.</w:t>
      </w:r>
    </w:p>
    <w:p w14:paraId="06A646D8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Nếu không đạt được thỏa thuận, tranh chấp được giải quyết tại Tòa án nhân dân có thẩm quyền tại nơi Bên B đặt trụ sở, theo pháp luật Việt Nam.</w:t>
      </w:r>
    </w:p>
    <w:p w14:paraId="622E379B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Điều 11. Điều khoản chung</w:t>
      </w:r>
    </w:p>
    <w:p w14:paraId="22182601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Hợp đồng có hiệu lực kể từ ngày ký;</w:t>
      </w:r>
    </w:p>
    <w:p w14:paraId="1376AF09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Hợp đồng gồm 03 trang, được lập thành 02 bản có giá trị pháp lý như nhau, mỗi Bên giữ 01 bản;</w:t>
      </w:r>
    </w:p>
    <w:p w14:paraId="4B25A85D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Phụ lục hợp đồng 1 và Phụ lục hợp đồng 2 là một phần không tách rời của Hợp đồng này.</w:t>
      </w:r>
    </w:p>
    <w:tbl>
      <w:tblPr>
        <w:tblStyle w:val="35"/>
        <w:tblW w:w="5000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43"/>
        <w:gridCol w:w="4644"/>
      </w:tblGrid>
      <w:tr w14:paraId="368D27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00" w:type="pct"/>
          </w:tcPr>
          <w:p w14:paraId="70D39BA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bookmarkStart w:id="0" w:name="_Hlk208158054"/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ĐẠI DIỆN BÊN A</w:t>
            </w:r>
          </w:p>
          <w:p w14:paraId="50B1869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(Ký, đóng dấu và ghi rõ họ tên)</w:t>
            </w:r>
          </w:p>
        </w:tc>
        <w:tc>
          <w:tcPr>
            <w:tcW w:w="2500" w:type="pct"/>
          </w:tcPr>
          <w:p w14:paraId="3925C4CE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ĐẠI DIỆN BÊN B</w:t>
            </w:r>
          </w:p>
          <w:p w14:paraId="53CCCD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(Ký, đóng dấu và ghi rõ họ tên)</w:t>
            </w:r>
          </w:p>
          <w:p w14:paraId="1D52745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CB9E905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C81257B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49D252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585BC1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Hồ Vũ Việt Thắng</w:t>
            </w:r>
          </w:p>
        </w:tc>
      </w:tr>
      <w:bookmarkEnd w:id="0"/>
    </w:tbl>
    <w:p w14:paraId="29432B12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039C83B8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0FF82426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45EFDC86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7CE009D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EEAD5E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PHỤ LỤC 1</w:t>
      </w:r>
    </w:p>
    <w:p w14:paraId="621D9BCB">
      <w:pPr>
        <w:spacing w:after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1243330</wp:posOffset>
                </wp:positionH>
                <wp:positionV relativeFrom="paragraph">
                  <wp:posOffset>216535</wp:posOffset>
                </wp:positionV>
                <wp:extent cx="3286125" cy="0"/>
                <wp:effectExtent l="0" t="0" r="0" b="0"/>
                <wp:wrapNone/>
                <wp:docPr id="21001771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8612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1" o:spid="_x0000_s1026" o:spt="20" style="position:absolute;left:0pt;margin-left:97.9pt;margin-top:17.05pt;height:0pt;width:258.75pt;z-index:251661312;mso-width-relative:page;mso-height-relative:page;" filled="f" stroked="t" coordsize="21600,21600" o:gfxdata="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Times New Roman" w:hAnsi="Times New Roman" w:cs="Times New Roman"/>
          <w:b/>
          <w:sz w:val="28"/>
          <w:szCs w:val="28"/>
        </w:rPr>
        <w:t>BẢNG GIÁ DỊCH VỤ PHẦN MỀM MEDS</w:t>
      </w:r>
    </w:p>
    <w:p w14:paraId="24EEAB84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7336A896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Phụ lục này là một phần không tách rời của Hợp đồng dịch vụ phần mềm số …/HĐDV/2025, ký ngày …/…/2025 giữa Bên A và Bên B.</w:t>
      </w:r>
    </w:p>
    <w:p w14:paraId="12EE8731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Bảng giá dịch vụ MEDS áp dụng tại thời điểm ký hợp đồng:</w:t>
      </w:r>
    </w:p>
    <w:tbl>
      <w:tblPr>
        <w:tblStyle w:val="52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46"/>
        <w:gridCol w:w="3551"/>
        <w:gridCol w:w="4590"/>
      </w:tblGrid>
      <w:tr w14:paraId="7BE16A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17" w:type="pct"/>
            <w:tcBorders>
              <w:top w:val="nil"/>
              <w:left w:val="nil"/>
              <w:bottom w:val="nil"/>
              <w:right w:val="single" w:color="4F81BD" w:themeColor="accent1" w:sz="8" w:space="0"/>
              <w:insideV w:val="single" w:sz="8" w:space="0"/>
            </w:tcBorders>
            <w:vAlign w:val="center"/>
          </w:tcPr>
          <w:p w14:paraId="63C530A6">
            <w:pPr>
              <w:spacing w:before="0" w:after="0" w:line="276" w:lineRule="auto"/>
              <w:jc w:val="center"/>
              <w:rPr>
                <w:rFonts w:ascii="Times New Roman" w:hAnsi="Times New Roman" w:cs="Times New Roman" w:eastAsiaTheme="majorEastAsia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 w:eastAsiaTheme="majorEastAsia"/>
                <w:b/>
                <w:bCs/>
                <w:sz w:val="28"/>
                <w:szCs w:val="28"/>
              </w:rPr>
              <w:t>STT</w:t>
            </w:r>
          </w:p>
        </w:tc>
        <w:tc>
          <w:tcPr>
            <w:tcW w:w="1912" w:type="pct"/>
            <w:tcBorders>
              <w:top w:val="nil"/>
              <w:left w:val="nil"/>
              <w:bottom w:val="nil"/>
              <w:right w:val="single" w:color="4F81BD" w:themeColor="accent1" w:sz="8" w:space="0"/>
              <w:insideV w:val="single" w:sz="8" w:space="0"/>
            </w:tcBorders>
            <w:vAlign w:val="center"/>
          </w:tcPr>
          <w:p w14:paraId="1EE845F2">
            <w:pPr>
              <w:spacing w:before="0" w:after="0" w:line="276" w:lineRule="auto"/>
              <w:jc w:val="center"/>
              <w:rPr>
                <w:rFonts w:ascii="Times New Roman" w:hAnsi="Times New Roman" w:cs="Times New Roman" w:eastAsiaTheme="majorEastAsia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 w:eastAsiaTheme="majorEastAsia"/>
                <w:b/>
                <w:bCs/>
                <w:sz w:val="28"/>
                <w:szCs w:val="28"/>
              </w:rPr>
              <w:t>Gói dịch vụ</w:t>
            </w:r>
          </w:p>
        </w:tc>
        <w:tc>
          <w:tcPr>
            <w:tcW w:w="2471" w:type="pct"/>
            <w:tcBorders>
              <w:top w:val="nil"/>
              <w:left w:val="nil"/>
              <w:bottom w:val="nil"/>
              <w:right w:val="nil"/>
              <w:insideV w:val="single" w:sz="8" w:space="0"/>
            </w:tcBorders>
            <w:vAlign w:val="center"/>
          </w:tcPr>
          <w:p w14:paraId="4FD00F22">
            <w:pPr>
              <w:spacing w:before="0" w:after="0" w:line="276" w:lineRule="auto"/>
              <w:jc w:val="center"/>
              <w:rPr>
                <w:rFonts w:ascii="Times New Roman" w:hAnsi="Times New Roman" w:cs="Times New Roman" w:eastAsiaTheme="majorEastAsia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 w:eastAsiaTheme="majorEastAsia"/>
                <w:b/>
                <w:bCs/>
                <w:sz w:val="28"/>
                <w:szCs w:val="28"/>
              </w:rPr>
              <w:t>Đơn giá (VNĐ)</w:t>
            </w:r>
          </w:p>
        </w:tc>
      </w:tr>
      <w:tr w14:paraId="014F19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17" w:type="pct"/>
            <w:tcBorders>
              <w:top w:val="nil"/>
              <w:left w:val="nil"/>
              <w:bottom w:val="nil"/>
              <w:right w:val="single" w:color="4F81BD" w:themeColor="accent1" w:sz="8" w:space="0"/>
              <w:insideV w:val="single" w:sz="8" w:space="0"/>
            </w:tcBorders>
            <w:shd w:val="clear" w:color="auto" w:fill="auto"/>
            <w:vAlign w:val="center"/>
          </w:tcPr>
          <w:p w14:paraId="11BA318D">
            <w:pPr>
              <w:spacing w:after="0" w:line="276" w:lineRule="auto"/>
              <w:jc w:val="center"/>
              <w:rPr>
                <w:rFonts w:ascii="Times New Roman" w:hAnsi="Times New Roman" w:cs="Times New Roman" w:eastAsiaTheme="majorEastAsia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 w:eastAsiaTheme="majorEastAsia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12" w:type="pct"/>
            <w:tcBorders>
              <w:top w:val="nil"/>
              <w:left w:val="nil"/>
              <w:bottom w:val="nil"/>
              <w:right w:val="single" w:color="4F81BD" w:themeColor="accent1" w:sz="8" w:space="0"/>
              <w:insideV w:val="single" w:sz="8" w:space="0"/>
            </w:tcBorders>
            <w:shd w:val="clear" w:color="auto" w:fill="auto"/>
            <w:vAlign w:val="center"/>
          </w:tcPr>
          <w:p w14:paraId="2F0BB7E1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Gói tháng</w:t>
            </w:r>
          </w:p>
        </w:tc>
        <w:tc>
          <w:tcPr>
            <w:tcW w:w="2471" w:type="pct"/>
            <w:tcBorders>
              <w:top w:val="nil"/>
              <w:left w:val="nil"/>
              <w:bottom w:val="nil"/>
              <w:right w:val="nil"/>
              <w:insideV w:val="single" w:sz="8" w:space="0"/>
            </w:tcBorders>
            <w:shd w:val="clear" w:color="auto" w:fill="auto"/>
            <w:vAlign w:val="center"/>
          </w:tcPr>
          <w:p w14:paraId="6F99FB6B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350.000 / tháng</w:t>
            </w:r>
          </w:p>
        </w:tc>
      </w:tr>
      <w:tr w14:paraId="32588C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17" w:type="pct"/>
            <w:tcBorders>
              <w:top w:val="nil"/>
              <w:left w:val="nil"/>
              <w:bottom w:val="nil"/>
              <w:right w:val="single" w:color="4F81BD" w:themeColor="accent1" w:sz="8" w:space="0"/>
              <w:insideV w:val="single" w:sz="8" w:space="0"/>
            </w:tcBorders>
            <w:vAlign w:val="center"/>
          </w:tcPr>
          <w:p w14:paraId="5280F830">
            <w:pPr>
              <w:spacing w:after="0" w:line="276" w:lineRule="auto"/>
              <w:jc w:val="center"/>
              <w:rPr>
                <w:rFonts w:ascii="Times New Roman" w:hAnsi="Times New Roman" w:cs="Times New Roman" w:eastAsiaTheme="majorEastAsia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 w:eastAsiaTheme="majorEastAsia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12" w:type="pct"/>
            <w:tcBorders>
              <w:top w:val="nil"/>
              <w:left w:val="nil"/>
              <w:bottom w:val="nil"/>
              <w:right w:val="single" w:color="4F81BD" w:themeColor="accent1" w:sz="8" w:space="0"/>
              <w:insideV w:val="single" w:sz="8" w:space="0"/>
            </w:tcBorders>
            <w:vAlign w:val="center"/>
          </w:tcPr>
          <w:p w14:paraId="38BE3BEE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Gói 6 tháng</w:t>
            </w:r>
          </w:p>
        </w:tc>
        <w:tc>
          <w:tcPr>
            <w:tcW w:w="2471" w:type="pct"/>
            <w:tcBorders>
              <w:top w:val="nil"/>
              <w:left w:val="nil"/>
              <w:bottom w:val="nil"/>
              <w:right w:val="nil"/>
              <w:insideV w:val="single" w:sz="8" w:space="0"/>
            </w:tcBorders>
            <w:vAlign w:val="center"/>
          </w:tcPr>
          <w:p w14:paraId="750DED61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1.800.000 / 6 tháng</w:t>
            </w:r>
          </w:p>
        </w:tc>
      </w:tr>
      <w:tr w14:paraId="110669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17" w:type="pct"/>
            <w:tcBorders>
              <w:top w:val="nil"/>
              <w:left w:val="nil"/>
              <w:bottom w:val="nil"/>
              <w:right w:val="single" w:color="4F81BD" w:themeColor="accent1" w:sz="8" w:space="0"/>
              <w:insideV w:val="single" w:sz="8" w:space="0"/>
            </w:tcBorders>
            <w:shd w:val="clear" w:color="auto" w:fill="auto"/>
            <w:vAlign w:val="center"/>
          </w:tcPr>
          <w:p w14:paraId="0A20C00C">
            <w:pPr>
              <w:spacing w:after="0" w:line="276" w:lineRule="auto"/>
              <w:jc w:val="center"/>
              <w:rPr>
                <w:rFonts w:ascii="Times New Roman" w:hAnsi="Times New Roman" w:cs="Times New Roman" w:eastAsiaTheme="majorEastAsia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 w:eastAsiaTheme="majorEastAsia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12" w:type="pct"/>
            <w:tcBorders>
              <w:top w:val="nil"/>
              <w:left w:val="nil"/>
              <w:bottom w:val="nil"/>
              <w:right w:val="single" w:color="4F81BD" w:themeColor="accent1" w:sz="8" w:space="0"/>
              <w:insideV w:val="single" w:sz="8" w:space="0"/>
            </w:tcBorders>
            <w:shd w:val="clear" w:color="auto" w:fill="auto"/>
            <w:vAlign w:val="center"/>
          </w:tcPr>
          <w:p w14:paraId="257443F5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Gói 12 tháng</w:t>
            </w:r>
          </w:p>
        </w:tc>
        <w:tc>
          <w:tcPr>
            <w:tcW w:w="2471" w:type="pct"/>
            <w:tcBorders>
              <w:top w:val="nil"/>
              <w:left w:val="nil"/>
              <w:bottom w:val="nil"/>
              <w:right w:val="nil"/>
              <w:insideV w:val="single" w:sz="8" w:space="0"/>
            </w:tcBorders>
            <w:shd w:val="clear" w:color="auto" w:fill="auto"/>
            <w:vAlign w:val="center"/>
          </w:tcPr>
          <w:p w14:paraId="785FDF4C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3.000.000 / 12 tháng</w:t>
            </w:r>
          </w:p>
        </w:tc>
      </w:tr>
      <w:tr w14:paraId="6BAE6C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17" w:type="pct"/>
            <w:tcBorders>
              <w:top w:val="nil"/>
              <w:left w:val="nil"/>
              <w:bottom w:val="nil"/>
              <w:right w:val="single" w:color="4F81BD" w:themeColor="accent1" w:sz="8" w:space="0"/>
              <w:insideV w:val="single" w:sz="8" w:space="0"/>
            </w:tcBorders>
            <w:vAlign w:val="center"/>
          </w:tcPr>
          <w:p w14:paraId="3E18E5EF">
            <w:pPr>
              <w:spacing w:after="0" w:line="276" w:lineRule="auto"/>
              <w:jc w:val="center"/>
              <w:rPr>
                <w:rFonts w:ascii="Times New Roman" w:hAnsi="Times New Roman" w:cs="Times New Roman" w:eastAsiaTheme="majorEastAsia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 w:eastAsiaTheme="majorEastAsia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12" w:type="pct"/>
            <w:tcBorders>
              <w:top w:val="nil"/>
              <w:left w:val="nil"/>
              <w:bottom w:val="nil"/>
              <w:right w:val="single" w:color="4F81BD" w:themeColor="accent1" w:sz="8" w:space="0"/>
              <w:insideV w:val="single" w:sz="8" w:space="0"/>
            </w:tcBorders>
            <w:vAlign w:val="center"/>
          </w:tcPr>
          <w:p w14:paraId="5C39CBB4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Gói trọn đời</w:t>
            </w:r>
          </w:p>
        </w:tc>
        <w:tc>
          <w:tcPr>
            <w:tcW w:w="2471" w:type="pct"/>
            <w:tcBorders>
              <w:top w:val="nil"/>
              <w:left w:val="nil"/>
              <w:bottom w:val="nil"/>
              <w:right w:val="nil"/>
              <w:insideV w:val="single" w:sz="8" w:space="0"/>
            </w:tcBorders>
            <w:vAlign w:val="center"/>
          </w:tcPr>
          <w:p w14:paraId="304895FA">
            <w:pPr>
              <w:spacing w:after="0"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10.000.000 (một lần duy nhất)</w:t>
            </w:r>
          </w:p>
        </w:tc>
      </w:tr>
    </w:tbl>
    <w:p w14:paraId="1D8A9ABC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Lưu ý: Bảng giá trên chưa bao gồm thuế VAT (nếu có). Bên B có quyền điều chỉnh bảng giá theo từng thời kỳ nhưng phải thông báo trước cho Bên A tối thiểu 30 ngày.</w:t>
      </w:r>
    </w:p>
    <w:p w14:paraId="695ED8F7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Phụ lục này có hiệu lực cùng ngày với Hợp đồng và là một phần không tách rời của Hợp đồng.</w:t>
      </w:r>
    </w:p>
    <w:p w14:paraId="76B65E2F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35"/>
        <w:tblW w:w="5000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43"/>
        <w:gridCol w:w="4644"/>
      </w:tblGrid>
      <w:tr w14:paraId="541D05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00" w:type="pct"/>
          </w:tcPr>
          <w:p w14:paraId="4D4824D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ĐẠI DIỆN BÊN A</w:t>
            </w:r>
          </w:p>
          <w:p w14:paraId="63BA180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(Ký, đóng dấu và ghi rõ họ tên)</w:t>
            </w:r>
          </w:p>
        </w:tc>
        <w:tc>
          <w:tcPr>
            <w:tcW w:w="2500" w:type="pct"/>
          </w:tcPr>
          <w:p w14:paraId="7537DEA3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ĐẠI DIỆN BÊN B</w:t>
            </w:r>
          </w:p>
          <w:p w14:paraId="7B651237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(Ký, đóng dấu và ghi rõ họ tên)</w:t>
            </w:r>
          </w:p>
          <w:p w14:paraId="6F78C3A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6F80C9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5077B47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B115A1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3BAE62D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Hồ Vũ Việt Thắng</w:t>
            </w:r>
          </w:p>
        </w:tc>
      </w:tr>
    </w:tbl>
    <w:p w14:paraId="7866A99F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15863658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58DF91ED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3EE27A3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PHỤ LỤC 2</w:t>
      </w:r>
    </w:p>
    <w:p w14:paraId="32735954">
      <w:pPr>
        <w:spacing w:after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1224280</wp:posOffset>
                </wp:positionH>
                <wp:positionV relativeFrom="paragraph">
                  <wp:posOffset>197485</wp:posOffset>
                </wp:positionV>
                <wp:extent cx="3286125" cy="0"/>
                <wp:effectExtent l="0" t="0" r="0" b="0"/>
                <wp:wrapNone/>
                <wp:docPr id="1869407411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8612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" o:spid="_x0000_s1026" o:spt="20" style="position:absolute;left:0pt;margin-left:96.4pt;margin-top:15.55pt;height:0pt;width:258.75pt;z-index:251662336;mso-width-relative:page;mso-height-relative:page;" filled="f" stroked="t" coordsize="21600,21600" o:gfxdata="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Times New Roman" w:hAnsi="Times New Roman" w:cs="Times New Roman"/>
          <w:b/>
          <w:sz w:val="28"/>
          <w:szCs w:val="28"/>
        </w:rPr>
        <w:t>MÔ TẢ CHỨC NĂNG PHẦN MỀM MEDS</w:t>
      </w:r>
    </w:p>
    <w:p w14:paraId="0E36BF70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655AEFF2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Phụ lục này là một phần không tách rời của Hợp đồng dịch vụ phần mềm số …/HĐDV/2025,  ký ngày …/…/2025 giữa Bên A và Bên B.</w:t>
      </w:r>
    </w:p>
    <w:p w14:paraId="6CB402F5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Các chức năng chính của phần mềm MEDS bao gồm:</w:t>
      </w:r>
    </w:p>
    <w:p w14:paraId="50E26E5C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Quản lý danh mục dịch vụ kỹ thuật (YHCT – PHCN): thiết lập thời lượng, sử dụng máy, nhóm dịch vụ.</w:t>
      </w:r>
    </w:p>
    <w:p w14:paraId="19B094EB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Quản lý nhân viên: phân công theo chuyên môn, khoa phòng, ca làm việc (sáng/chiều), kỹ thuật có thể thực hiện.</w:t>
      </w:r>
    </w:p>
    <w:p w14:paraId="264DB884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Quản lý máy móc: khai báo mã máy, dịch vụ gắn với máy, tránh trùng lặp trong xếp lịch.</w:t>
      </w:r>
    </w:p>
    <w:p w14:paraId="0EAC5BD3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Quản lý bệnh nhân: nhập, xóa thông tin bệnh nhân, mã hồ sơ, chỉ định dịch vụ.</w:t>
      </w:r>
    </w:p>
    <w:p w14:paraId="054B6627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Xếp lịch tự động: hệ thống tự động chia giờ thủ thuật không trùng thời gian nhân viên, bệnh nhân, máy móc.</w:t>
      </w:r>
    </w:p>
    <w:p w14:paraId="389A97FF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Xử lý đặc biệt cuối tuần: hệ thống tự động chia giờ thủ thuật không trùng thời gian nhân viên, bệnh nhân, máy móc.</w:t>
      </w:r>
    </w:p>
    <w:p w14:paraId="1DC5E376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Quản lý y lệnh: tổng hợp chỉ định, nhóm dịch vụ, chia giờ theo khoa YHCT/PHCN.</w:t>
      </w:r>
    </w:p>
    <w:p w14:paraId="4BB3E6D4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Xuất bảng KETQUA: kết quả xếp lịch đầy đủ (ngày, giờ, bệnh nhân, dịch vụ, nhân viên, máy móc).</w:t>
      </w:r>
    </w:p>
    <w:p w14:paraId="4FAB3F5C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Hỗ trợ gửi kết quả qua email: gửi file Excel kết quả xếp lịch tới địa chỉ email đã cấu hình.</w:t>
      </w:r>
    </w:p>
    <w:p w14:paraId="77AA9F49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Cấu hình hệ thống: thay đổi tham số (giờ làm việc, nghỉ giữa ca, khoảng cách giữa dịch vụ, số bệnh nhân/nhóm OX...).</w:t>
      </w:r>
    </w:p>
    <w:p w14:paraId="67AD9ED1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Bảo mật: phân quyền tài khoản, đăng nhập WebApp, quản lý truy cập dữ liệu.</w:t>
      </w:r>
    </w:p>
    <w:p w14:paraId="0AB295F7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Phụ lục này có hiệu lực cùng ngày với Hợp đồng và là một phần không tách rời của Hợp đồng.</w:t>
      </w:r>
    </w:p>
    <w:p w14:paraId="002FD6A3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35"/>
        <w:tblW w:w="5000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43"/>
        <w:gridCol w:w="4644"/>
      </w:tblGrid>
      <w:tr w14:paraId="33A836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00" w:type="pct"/>
          </w:tcPr>
          <w:p w14:paraId="4649DDA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ĐẠI DIỆN BÊN A</w:t>
            </w:r>
          </w:p>
          <w:p w14:paraId="1AC8BFC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(Ký, đóng dấu và ghi rõ họ tên)</w:t>
            </w:r>
          </w:p>
        </w:tc>
        <w:tc>
          <w:tcPr>
            <w:tcW w:w="2500" w:type="pct"/>
          </w:tcPr>
          <w:p w14:paraId="227256C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ĐẠI DIỆN BÊN B</w:t>
            </w:r>
          </w:p>
          <w:p w14:paraId="1777616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(Ký, đóng dấu và ghi rõ họ tên)</w:t>
            </w:r>
          </w:p>
          <w:p w14:paraId="59DFF80B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03B991D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96D9C38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D0ECA0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B69C49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Hồ Vũ Việt Thắng</w:t>
            </w:r>
          </w:p>
        </w:tc>
      </w:tr>
    </w:tbl>
    <w:p w14:paraId="574CA95A">
      <w:pPr>
        <w:spacing w:after="0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446C6EFE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sectPr>
      <w:pgSz w:w="11906" w:h="16838"/>
      <w:pgMar w:top="1134" w:right="1134" w:bottom="1134" w:left="1701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A3"/>
    <w:family w:val="roman"/>
    <w:pitch w:val="default"/>
    <w:sig w:usb0="E00006FF" w:usb1="420024FF" w:usb2="02000000" w:usb3="00000000" w:csb0="200001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A3"/>
    <w:family w:val="swiss"/>
    <w:pitch w:val="default"/>
    <w:sig w:usb0="E4002EFF" w:usb1="C200247B" w:usb2="00000009" w:usb3="00000000" w:csb0="200001F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ourier">
    <w:altName w:val="Courier New"/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5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420C3"/>
    <w:rsid w:val="0006063C"/>
    <w:rsid w:val="0015074B"/>
    <w:rsid w:val="0029639D"/>
    <w:rsid w:val="00326F90"/>
    <w:rsid w:val="006875C1"/>
    <w:rsid w:val="00AA1D8D"/>
    <w:rsid w:val="00B47730"/>
    <w:rsid w:val="00BB5B22"/>
    <w:rsid w:val="00CB0664"/>
    <w:rsid w:val="00D00975"/>
    <w:rsid w:val="00DC1332"/>
    <w:rsid w:val="00E63F66"/>
    <w:rsid w:val="00ED65E5"/>
    <w:rsid w:val="00F864ED"/>
    <w:rsid w:val="00FC693F"/>
    <w:rsid w:val="00FF2CC0"/>
    <w:rsid w:val="047C7F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uiPriority w:val="99"/>
  </w:style>
  <w:style w:type="character" w:customStyle="1" w:styleId="136">
    <w:name w:val="Footer Char"/>
    <w:basedOn w:val="11"/>
    <w:link w:val="18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uiPriority w:val="99"/>
  </w:style>
  <w:style w:type="character" w:customStyle="1" w:styleId="146">
    <w:name w:val="Body Text 3 Char"/>
    <w:basedOn w:val="11"/>
    <w:link w:val="15"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2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967</Words>
  <Characters>5518</Characters>
  <Lines>45</Lines>
  <Paragraphs>12</Paragraphs>
  <TotalTime>21</TotalTime>
  <ScaleCrop>false</ScaleCrop>
  <LinksUpToDate>false</LinksUpToDate>
  <CharactersWithSpaces>6473</CharactersWithSpaces>
  <Application>WPS Office_12.2.0.23131_F1E327BC-269C-435d-A152-05C5408002CA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Le Kieutrinh</cp:lastModifiedBy>
  <dcterms:modified xsi:type="dcterms:W3CDTF">2025-12-18T05:04:09Z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1033-12.2.0.23131</vt:lpwstr>
  </property>
  <property fmtid="{D5CDD505-2E9C-101B-9397-08002B2CF9AE}" pid="3" name="ICV">
    <vt:lpwstr>10328BBBD9584218B5AE47C9173F90FC_12</vt:lpwstr>
  </property>
</Properties>
</file>