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Big Data and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60" w:before="0" w:line="240" w:lineRule="auto"/>
        <w:contextualSpacing w:val="0"/>
        <w:jc w:val="center"/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1"/>
          <w:color w:val="5b422a"/>
          <w:sz w:val="40"/>
          <w:rtl w:val="0"/>
        </w:rPr>
        <w:t xml:space="preserve">Homework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60" w:before="0"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0"/>
          <w:color w:val="666666"/>
          <w:sz w:val="36"/>
          <w:rtl w:val="0"/>
        </w:rPr>
        <w:t xml:space="preserve">張家豪 周詮儒</w:t>
      </w:r>
    </w:p>
    <w:p w:rsidR="00000000" w:rsidDel="00000000" w:rsidP="00000000" w:rsidRDefault="00000000" w:rsidRPr="00000000">
      <w:pPr>
        <w:keepNext w:val="1"/>
        <w:spacing w:after="160" w:before="0"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color w:val="666666"/>
          <w:sz w:val="36"/>
          <w:rtl w:val="0"/>
        </w:rPr>
        <w:t xml:space="preserve">組別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6"/>
          <w:rtl w:val="0"/>
        </w:rPr>
        <w:t xml:space="preserve">：滴滴打＿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16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Arimo" w:cs="Arimo" w:eastAsia="Arimo" w:hAnsi="Arimo"/>
          <w:b w:val="0"/>
          <w:color w:val="222222"/>
          <w:sz w:val="28"/>
          <w:rtl w:val="0"/>
        </w:rPr>
        <w:tab/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首先，在這篇報告中，我們將最佳預算分配定義為「最高銷售金額」。以行銷業的角度來看，行銷的目的即為刺激銷售、提高銷售額，而測量行銷成果的方法應為銷售狀況。</w:t>
      </w:r>
    </w:p>
    <w:p w:rsidR="00000000" w:rsidDel="00000000" w:rsidP="00000000" w:rsidRDefault="00000000" w:rsidRPr="00000000">
      <w:pPr>
        <w:spacing w:after="0" w:before="0" w:line="288" w:lineRule="auto"/>
        <w:ind w:left="0" w:firstLine="720"/>
        <w:contextualSpacing w:val="0"/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一開始先觀察一下原始數據，我們認為對於「客戶參訪」這項，由於客戶的來訪並非是我們能夠控制的，而且也沒有直接的證據顯示「客戶參訪」對於「銷售收入」有影響，所以我們選擇不把這項列入我們的考量；而對於宣傳來看，分類方式有媒體和地區兩種，但是如果兩種都採用的話會導致我們model的independent variable太多，所以我們決定不考慮地區的因素，直接對媒體的種類做回歸分析。首先，我們先把媒體做分類，一共分成書面廣告、戶外看板、網路行銷、手機行銷、電視廣告、現場活動、其他(找不到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適當分類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)等七類，接著把時間以一個月為一段期間，統計每個月的銷售總額以及花費在各類媒體上的宣傳支出，制定出以下的model：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Para>
        <m:oMathParaPr>
          <m:jc m:val="left"/>
        </m:oMathParaPr>
        <m:oMath>
          <m:acc>
            <m:accPr>
              <m:chr m:val="̂"/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acc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y</m:t>
              </m:r>
            </m:e>
          </m:acc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=0+0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0</m:t>
              </m:r>
            </m:sub>
          </m:sSub>
          <m:r>
            <w:rPr>
              <w:rFonts w:ascii="Libre Baskerville" w:cs="Libre Baskerville" w:eastAsia="Libre Baskerville" w:hAnsi="Libre Baskerville"/>
              <w:b w:val="0"/>
              <w:color w:val="222222"/>
              <w:sz w:val="28"/>
            </w:rPr>
            <m:t xml:space="preserve">-</m:t>
          </m:r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13.03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—46.23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2</m:t>
              </m:r>
            </m:sub>
          </m:sSub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+30.08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3</m:t>
              </m:r>
            </m:sub>
          </m:sSub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+46.89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4</m:t>
              </m:r>
            </m:sub>
          </m:sSub>
          <m:r>
            <w:rPr>
              <w:rFonts w:ascii="Libre Baskerville" w:cs="Libre Baskerville" w:eastAsia="Libre Baskerville" w:hAnsi="Libre Baskerville"/>
              <w:b w:val="0"/>
              <w:color w:val="222222"/>
              <w:sz w:val="28"/>
            </w:rPr>
            <m:t xml:space="preserve">-</m:t>
          </m:r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53.69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5</m:t>
              </m:r>
            </m:sub>
          </m:sSub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+232.5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6</m:t>
              </m:r>
            </m:sub>
          </m:sSub>
          <m:r>
            <w:rPr>
              <w:rFonts w:ascii="Cambria" w:cs="Cambria" w:eastAsia="Cambria" w:hAnsi="Cambria"/>
              <w:b w:val="0"/>
              <w:color w:val="222222"/>
              <w:sz w:val="28"/>
            </w:rPr>
            <m:t xml:space="preserve">+65.88</m:t>
          </m:r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8"/>
                </w:rPr>
                <m:t xml:space="preserve">7</m:t>
              </m:r>
            </m:sub>
          </m:sSub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其中</w:t>
      </w:r>
      <m:oMathPara>
        <m:oMathParaPr>
          <m:jc m:val="left"/>
        </m:oMathParaPr>
        <m:oMath>
          <m:acc>
            <m:accPr>
              <m:chr m:val="̂"/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acc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y</m:t>
              </m:r>
            </m:e>
          </m:acc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代表該月份的銷售額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0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為時間序列(單位為月)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1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是前一個月在第一類媒體(書面廣告)上的宣傳支出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2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是前一個月在第二類媒體(戶外看板)上的宣傳支出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3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是前一個月在第三類媒體(網路行銷)上的宣傳支出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4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是前一個月在第四類媒體(手機行銷)上的宣傳支出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5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是前一個月在第五類媒體(電視廣告)上的宣傳支出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6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是前一個月在第六類媒體(現場活動)上的宣傳支出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</m:ctrlPr>
            </m:sSubPr>
            <m:e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b w:val="0"/>
                  <w:color w:val="222222"/>
                  <w:sz w:val="24"/>
                </w:rPr>
                <m:t xml:space="preserve">7</m:t>
              </m:r>
            </m:sub>
          </m:sSub>
        </m:oMath>
      </m:oMathPara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是前一個月在第七類媒體(其他)上的宣傳支出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結果如下：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drawing>
          <wp:inline distB="0" distT="0" distL="0" distR="0">
            <wp:extent cx="3086531" cy="164805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drawing>
          <wp:inline distB="0" distT="0" distL="0" distR="0">
            <wp:extent cx="1276528" cy="100026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R平方為64.04%，因此這個model大約可以解釋64.04%的值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ind w:firstLine="720"/>
        <w:contextualSpacing w:val="0"/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根據結果，我們應該要在第六類媒體(現場活動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，係數232.5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)下最多的宣傳效果會是最好的，另外第二類(戶外看板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，係數-13.03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)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、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第三類(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戶外看板，係數-46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)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和第五類(電視廣告，係數-53)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在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這個模型中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color w:val="222222"/>
          <w:sz w:val="24"/>
          <w:rtl w:val="0"/>
        </w:rPr>
        <w:t xml:space="preserve">對我們的銷售有負面的影響</w:t>
      </w: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。因此對於明年的預算分配，我們應將現場活動的預算提高，並將戶外看板、網路行銷和電視廣告的預算降低，甚至降為零。此外，我們發現房地產市場在這一年中受到時間序列的影響極小（-5.6E+07），幾乎可以忽略。換句話說，房地產市場在一年中熱季淡季分別不明顯。</w:t>
      </w:r>
    </w:p>
    <w:p w:rsidR="00000000" w:rsidDel="00000000" w:rsidP="00000000" w:rsidRDefault="00000000" w:rsidRPr="00000000">
      <w:pPr>
        <w:spacing w:after="0" w:before="0" w:line="288" w:lineRule="auto"/>
        <w:ind w:left="0" w:firstLine="720"/>
        <w:contextualSpacing w:val="0"/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對此，我們的解釋是：</w:t>
      </w:r>
    </w:p>
    <w:p w:rsidR="00000000" w:rsidDel="00000000" w:rsidP="00000000" w:rsidRDefault="00000000" w:rsidRPr="00000000">
      <w:pPr>
        <w:spacing w:after="0" w:before="0" w:line="28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rFonts w:ascii="Libre Baskerville" w:cs="Libre Baskerville" w:eastAsia="Libre Baskerville" w:hAnsi="Libre Baskerville"/>
          <w:color w:val="222222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全面性放送的行銷活動（廣告）會使房地產的消費者族群卻步、降低購買慾望，使銷售金額下降。因為消費者覺得現在可能是房地產的銷售熱季，應該等到進入淡季後，房屋售價下降後才消費。然而，我們發現沒有實際的熱季、淡季的差別。廣告多少的數量可能是消費者判斷熱季或者淡季的方法之一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rFonts w:ascii="Libre Baskerville" w:cs="Libre Baskerville" w:eastAsia="Libre Baskerville" w:hAnsi="Libre Baskerville"/>
          <w:color w:val="222222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全面性放送的行銷活動不會讓非潛在消費者轉為潛在消費者（成為潛在消費者的門檻高）。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rFonts w:ascii="Libre Baskerville" w:cs="Libre Baskerville" w:eastAsia="Libre Baskerville" w:hAnsi="Libre Baskerville"/>
          <w:color w:val="222222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全面性放送的行銷活動在房地產中，難以做到對於個別產品的行銷案。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rFonts w:ascii="Libre Baskerville" w:cs="Libre Baskerville" w:eastAsia="Libre Baskerville" w:hAnsi="Libre Baskerville"/>
          <w:color w:val="222222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小地區、地方性的現場行銷活動，較容易吸引潛在消費者，並且較容易對於個別產品推出行銷方法。此外，我們認為產品銷售同樣也會受到地域性的影響，消費者可能偏好在原本居家附近尋找新房子。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rFonts w:ascii="Libre Baskerville" w:cs="Libre Baskerville" w:eastAsia="Libre Baskerville" w:hAnsi="Libre Baskerville"/>
          <w:color w:val="222222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222222"/>
          <w:rtl w:val="0"/>
        </w:rPr>
        <w:t xml:space="preserve">手機、網路行銷較容易對於個別廣告接收者（手機、網路使用者）產生個人化廣告、再行銷（Remarketing）或者關鍵字（Keywords）廣告，這類廣告通常能較直接明確的行銷預算用在Target Audience（或潛在消費者）上面。</w:t>
      </w:r>
    </w:p>
    <w:sectPr>
      <w:footerReference r:id="rId7" w:type="default"/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Libre Baskerville"/>
  <w:font w:name="Georgia"/>
  <w:font w:name="SimSun"/>
  <w:font w:name="Arial Unicode MS"/>
  <w:font w:name="Arimo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510"/>
      </w:tabs>
      <w:spacing w:after="720" w:before="0" w:line="240" w:lineRule="auto"/>
      <w:contextualSpacing w:val="0"/>
    </w:pPr>
    <w:r w:rsidDel="00000000" w:rsidR="00000000" w:rsidRPr="00000000">
      <w:rPr>
        <w:rFonts w:ascii="Libre Baskerville" w:cs="Libre Baskerville" w:eastAsia="Libre Baskerville" w:hAnsi="Libre Baskerville"/>
        <w:b w:val="0"/>
        <w:smallCaps w:val="1"/>
        <w:color w:val="000000"/>
        <w:sz w:val="20"/>
        <w:rtl w:val="0"/>
      </w:rPr>
      <w:t xml:space="preserve">HW1</w:t>
      <w:tab/>
      <w:tab/>
    </w:r>
    <w:fldSimple w:instr="PAGE" w:fldLock="0" w:dirty="0">
      <w:r w:rsidDel="00000000" w:rsidR="00000000" w:rsidRPr="00000000">
        <w:rPr>
          <w:rFonts w:ascii="Libre Baskerville" w:cs="Libre Baskerville" w:eastAsia="Libre Baskerville" w:hAnsi="Libre Baskerville"/>
          <w:b w:val="0"/>
          <w:smallCaps w:val="1"/>
          <w:color w:val="000000"/>
          <w:sz w:val="20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  <w:jc w:val="center"/>
    </w:pPr>
    <w:rPr>
      <w:rFonts w:ascii="Libre Baskerville" w:cs="Libre Baskerville" w:eastAsia="Libre Baskerville" w:hAnsi="Libre Baskerville"/>
      <w:b w:val="0"/>
      <w:color w:val="4b7196"/>
      <w:sz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2.png"/><Relationship Id="rId7" Type="http://schemas.openxmlformats.org/officeDocument/2006/relationships/footer" Target="footer1.xml"/></Relationships>
</file>