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應變數</w:t>
      </w:r>
      <w:r w:rsidRPr="000C5095">
        <w:rPr>
          <w:rFonts w:ascii="Arial" w:eastAsia="新細明體" w:hAnsi="Arial" w:cs="Arial"/>
          <w:color w:val="000000"/>
          <w:kern w:val="0"/>
          <w:szCs w:val="24"/>
          <w:lang w:bidi="ar-SA"/>
        </w:rPr>
        <w:t>PAY = (</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月每</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月平均繳費金額</w:t>
      </w:r>
      <w:r w:rsidRPr="000C5095">
        <w:rPr>
          <w:rFonts w:ascii="Arial" w:eastAsia="新細明體" w:hAnsi="Arial" w:cs="Arial"/>
          <w:color w:val="000000"/>
          <w:kern w:val="0"/>
          <w:szCs w:val="24"/>
          <w:lang w:bidi="ar-SA"/>
        </w:rPr>
        <w:t xml:space="preserve">) </w:t>
      </w:r>
      <w:proofErr w:type="gramStart"/>
      <w:r w:rsidRPr="000C5095">
        <w:rPr>
          <w:rFonts w:ascii="Arial" w:eastAsia="新細明體" w:hAnsi="Arial" w:cs="Arial"/>
          <w:color w:val="000000"/>
          <w:kern w:val="0"/>
          <w:szCs w:val="24"/>
          <w:lang w:bidi="ar-SA"/>
        </w:rPr>
        <w:t>–</w:t>
      </w:r>
      <w:proofErr w:type="gramEnd"/>
      <w:r w:rsidRPr="000C5095">
        <w:rPr>
          <w:rFonts w:ascii="Arial" w:eastAsia="新細明體" w:hAnsi="Arial" w:cs="Arial"/>
          <w:color w:val="000000"/>
          <w:kern w:val="0"/>
          <w:szCs w:val="24"/>
          <w:lang w:bidi="ar-SA"/>
        </w:rPr>
        <w:t xml:space="preserve"> (</w:t>
      </w:r>
      <w:r w:rsidRPr="000C5095">
        <w:rPr>
          <w:rFonts w:ascii="Times New Roman" w:eastAsia="新細明體" w:hAnsi="Times New Roman" w:cs="Times New Roman"/>
          <w:color w:val="000000"/>
          <w:kern w:val="0"/>
          <w:szCs w:val="24"/>
          <w:lang w:bidi="ar-SA"/>
        </w:rPr>
        <w:t>近</w:t>
      </w:r>
      <w:r w:rsidRPr="000C5095">
        <w:rPr>
          <w:rFonts w:ascii="Arial" w:eastAsia="新細明體" w:hAnsi="Arial" w:cs="Arial"/>
          <w:color w:val="000000"/>
          <w:kern w:val="0"/>
          <w:szCs w:val="24"/>
          <w:lang w:bidi="ar-SA"/>
        </w:rPr>
        <w:t>3</w:t>
      </w:r>
      <w:r w:rsidRPr="000C5095">
        <w:rPr>
          <w:rFonts w:ascii="Times New Roman" w:eastAsia="新細明體" w:hAnsi="Times New Roman" w:cs="Times New Roman"/>
          <w:color w:val="000000"/>
          <w:kern w:val="0"/>
          <w:szCs w:val="24"/>
          <w:lang w:bidi="ar-SA"/>
        </w:rPr>
        <w:t>期平均</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金額</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大於</w:t>
      </w:r>
      <w:r w:rsidRPr="000C5095">
        <w:rPr>
          <w:rFonts w:ascii="Times New Roman" w:eastAsia="新細明體" w:hAnsi="Times New Roman" w:cs="Times New Roman"/>
          <w:color w:val="000000"/>
          <w:kern w:val="0"/>
          <w:szCs w:val="24"/>
          <w:lang w:bidi="ar-SA"/>
        </w:rPr>
        <w:t>0</w:t>
      </w:r>
      <w:r w:rsidRPr="000C5095">
        <w:rPr>
          <w:rFonts w:ascii="Times New Roman" w:eastAsia="新細明體" w:hAnsi="Times New Roman" w:cs="Times New Roman"/>
          <w:color w:val="000000"/>
          <w:kern w:val="0"/>
          <w:szCs w:val="24"/>
          <w:lang w:bidi="ar-SA"/>
        </w:rPr>
        <w:t>很多者為「高潛力用戶」、略大於</w:t>
      </w:r>
      <w:r w:rsidRPr="000C5095">
        <w:rPr>
          <w:rFonts w:ascii="Arial" w:eastAsia="新細明體" w:hAnsi="Arial" w:cs="Arial"/>
          <w:color w:val="000000"/>
          <w:kern w:val="0"/>
          <w:szCs w:val="24"/>
          <w:lang w:bidi="ar-SA"/>
        </w:rPr>
        <w:t>0</w:t>
      </w:r>
      <w:r w:rsidRPr="000C5095">
        <w:rPr>
          <w:rFonts w:ascii="Times New Roman" w:eastAsia="新細明體" w:hAnsi="Times New Roman" w:cs="Times New Roman"/>
          <w:color w:val="000000"/>
          <w:kern w:val="0"/>
          <w:szCs w:val="24"/>
          <w:lang w:bidi="ar-SA"/>
        </w:rPr>
        <w:t>者為好用戶、小於</w:t>
      </w:r>
      <w:r w:rsidRPr="000C5095">
        <w:rPr>
          <w:rFonts w:ascii="Arial" w:eastAsia="新細明體" w:hAnsi="Arial" w:cs="Arial"/>
          <w:color w:val="000000"/>
          <w:kern w:val="0"/>
          <w:szCs w:val="24"/>
          <w:lang w:bidi="ar-SA"/>
        </w:rPr>
        <w:t>0</w:t>
      </w:r>
      <w:r w:rsidRPr="000C5095">
        <w:rPr>
          <w:rFonts w:ascii="Times New Roman" w:eastAsia="新細明體" w:hAnsi="Times New Roman" w:cs="Times New Roman"/>
          <w:color w:val="000000"/>
          <w:kern w:val="0"/>
          <w:szCs w:val="24"/>
          <w:lang w:bidi="ar-SA"/>
        </w:rPr>
        <w:t>者為壞用戶</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首先，將用戶屬性納入解釋變數當中，此部分選定的有</w:t>
      </w:r>
      <w:r w:rsidRPr="000C5095">
        <w:rPr>
          <w:rFonts w:ascii="Arial" w:eastAsia="新細明體" w:hAnsi="Arial" w:cs="Arial"/>
          <w:color w:val="000000"/>
          <w:kern w:val="0"/>
          <w:szCs w:val="24"/>
          <w:lang w:bidi="ar-SA"/>
        </w:rPr>
        <w:t>CUR_AGE(</w:t>
      </w:r>
      <w:r w:rsidRPr="000C5095">
        <w:rPr>
          <w:rFonts w:ascii="Times New Roman" w:eastAsia="新細明體" w:hAnsi="Times New Roman" w:cs="Times New Roman"/>
          <w:color w:val="000000"/>
          <w:kern w:val="0"/>
          <w:szCs w:val="24"/>
          <w:lang w:bidi="ar-SA"/>
        </w:rPr>
        <w:t>目前年齡</w:t>
      </w:r>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w:t>
      </w:r>
      <w:r w:rsidRPr="000C5095">
        <w:rPr>
          <w:rFonts w:ascii="Arial" w:eastAsia="新細明體" w:hAnsi="Arial" w:cs="Arial"/>
          <w:color w:val="000000"/>
          <w:kern w:val="0"/>
          <w:szCs w:val="24"/>
          <w:lang w:bidi="ar-SA"/>
        </w:rPr>
        <w:t>TNR(</w:t>
      </w:r>
      <w:r w:rsidRPr="000C5095">
        <w:rPr>
          <w:rFonts w:ascii="Times New Roman" w:eastAsia="新細明體" w:hAnsi="Times New Roman" w:cs="Times New Roman"/>
          <w:color w:val="000000"/>
          <w:kern w:val="0"/>
          <w:szCs w:val="24"/>
          <w:lang w:bidi="ar-SA"/>
        </w:rPr>
        <w:t>累積租期</w:t>
      </w:r>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w:t>
      </w:r>
      <w:r w:rsidRPr="000C5095">
        <w:rPr>
          <w:rFonts w:ascii="Arial" w:eastAsia="新細明體" w:hAnsi="Arial" w:cs="Arial"/>
          <w:color w:val="000000"/>
          <w:kern w:val="0"/>
          <w:szCs w:val="24"/>
          <w:lang w:bidi="ar-SA"/>
        </w:rPr>
        <w:t>MAIN_MSISDN(</w:t>
      </w:r>
      <w:r w:rsidRPr="000C5095">
        <w:rPr>
          <w:rFonts w:ascii="Times New Roman" w:eastAsia="新細明體" w:hAnsi="Times New Roman" w:cs="Times New Roman"/>
          <w:color w:val="000000"/>
          <w:kern w:val="0"/>
          <w:szCs w:val="24"/>
          <w:lang w:bidi="ar-SA"/>
        </w:rPr>
        <w:t>主門號註記</w:t>
      </w:r>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w:t>
      </w:r>
      <w:r w:rsidRPr="000C5095">
        <w:rPr>
          <w:rFonts w:ascii="Arial" w:eastAsia="新細明體" w:hAnsi="Arial" w:cs="Arial"/>
          <w:color w:val="000000"/>
          <w:kern w:val="0"/>
          <w:szCs w:val="24"/>
          <w:lang w:bidi="ar-SA"/>
        </w:rPr>
        <w:t>NP_OUT_GRP(</w:t>
      </w:r>
      <w:r w:rsidRPr="000C5095">
        <w:rPr>
          <w:rFonts w:ascii="Times New Roman" w:eastAsia="新細明體" w:hAnsi="Times New Roman" w:cs="Times New Roman"/>
          <w:color w:val="000000"/>
          <w:kern w:val="0"/>
          <w:szCs w:val="24"/>
          <w:lang w:bidi="ar-SA"/>
        </w:rPr>
        <w:t>新申裝</w:t>
      </w:r>
      <w:proofErr w:type="gramStart"/>
      <w:r w:rsidRPr="000C5095">
        <w:rPr>
          <w:rFonts w:ascii="Times New Roman" w:eastAsia="新細明體" w:hAnsi="Times New Roman" w:cs="Times New Roman"/>
          <w:color w:val="000000"/>
          <w:kern w:val="0"/>
          <w:szCs w:val="24"/>
          <w:lang w:bidi="ar-SA"/>
        </w:rPr>
        <w:t>或攜碼業者</w:t>
      </w:r>
      <w:proofErr w:type="gramEnd"/>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等變數，其餘用戶屬性則因無特殊意義且屬性皆相同或納入後對模型影響</w:t>
      </w:r>
      <w:proofErr w:type="gramStart"/>
      <w:r w:rsidRPr="000C5095">
        <w:rPr>
          <w:rFonts w:ascii="Times New Roman" w:eastAsia="新細明體" w:hAnsi="Times New Roman" w:cs="Times New Roman"/>
          <w:color w:val="000000"/>
          <w:kern w:val="0"/>
          <w:szCs w:val="24"/>
          <w:lang w:bidi="ar-SA"/>
        </w:rPr>
        <w:t>甚微而剔除</w:t>
      </w:r>
      <w:proofErr w:type="gramEnd"/>
      <w:r w:rsidRPr="000C5095">
        <w:rPr>
          <w:rFonts w:ascii="Times New Roman" w:eastAsia="新細明體" w:hAnsi="Times New Roman" w:cs="Times New Roman"/>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接著，在繳款資訊的部分，由於欠費、溢繳等問題可能會與我們的應變數有較高的共線性可能，因此主要選取的變數為同樣是以三個月尺度來看的：</w:t>
      </w:r>
      <w:r w:rsidRPr="000C5095">
        <w:rPr>
          <w:rFonts w:ascii="Arial" w:eastAsia="新細明體" w:hAnsi="Arial" w:cs="Arial"/>
          <w:color w:val="000000"/>
          <w:kern w:val="0"/>
          <w:szCs w:val="24"/>
          <w:lang w:bidi="ar-SA"/>
        </w:rPr>
        <w:t>N3_PAID_CHANNEL_CATE(</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月主要繳費通路</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在</w:t>
      </w:r>
      <w:proofErr w:type="gramStart"/>
      <w:r w:rsidRPr="000C5095">
        <w:rPr>
          <w:rFonts w:ascii="Times New Roman" w:eastAsia="新細明體" w:hAnsi="Times New Roman" w:cs="Times New Roman"/>
          <w:color w:val="000000"/>
          <w:kern w:val="0"/>
          <w:szCs w:val="24"/>
          <w:lang w:bidi="ar-SA"/>
        </w:rPr>
        <w:t>帳單</w:t>
      </w:r>
      <w:proofErr w:type="gramEnd"/>
      <w:r w:rsidRPr="000C5095">
        <w:rPr>
          <w:rFonts w:ascii="Times New Roman" w:eastAsia="新細明體" w:hAnsi="Times New Roman" w:cs="Times New Roman"/>
          <w:color w:val="000000"/>
          <w:kern w:val="0"/>
          <w:szCs w:val="24"/>
          <w:lang w:bidi="ar-SA"/>
        </w:rPr>
        <w:t>細項資訊方面，由於各個項目之間重複較多，最後決定以近三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月平均每月的各項消費作為解釋變數，其中，由於國際簡訊費納入模型會不顯著，因此最後選取的變數有：</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N3_VAS_FEE_PER_MON(</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月平均每</w:t>
      </w:r>
      <w:proofErr w:type="gramStart"/>
      <w:r w:rsidRPr="000C5095">
        <w:rPr>
          <w:rFonts w:ascii="Times New Roman" w:eastAsia="新細明體" w:hAnsi="Times New Roman" w:cs="Times New Roman"/>
          <w:color w:val="000000"/>
          <w:kern w:val="0"/>
          <w:szCs w:val="24"/>
          <w:lang w:bidi="ar-SA"/>
        </w:rPr>
        <w:t>個月加</w:t>
      </w:r>
      <w:proofErr w:type="gramEnd"/>
      <w:r w:rsidRPr="000C5095">
        <w:rPr>
          <w:rFonts w:ascii="Times New Roman" w:eastAsia="新細明體" w:hAnsi="Times New Roman" w:cs="Times New Roman"/>
          <w:color w:val="000000"/>
          <w:kern w:val="0"/>
          <w:szCs w:val="24"/>
          <w:lang w:bidi="ar-SA"/>
        </w:rPr>
        <w:t>值服務消費金額</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N3_MSG_FEE_PER_MON(</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月平均每</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月的簡訊費</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在帳</w:t>
      </w:r>
      <w:proofErr w:type="gramStart"/>
      <w:r w:rsidRPr="000C5095">
        <w:rPr>
          <w:rFonts w:ascii="Times New Roman" w:eastAsia="新細明體" w:hAnsi="Times New Roman" w:cs="Times New Roman"/>
          <w:color w:val="000000"/>
          <w:kern w:val="0"/>
          <w:szCs w:val="24"/>
          <w:lang w:bidi="ar-SA"/>
        </w:rPr>
        <w:t>務</w:t>
      </w:r>
      <w:proofErr w:type="gramEnd"/>
      <w:r w:rsidRPr="000C5095">
        <w:rPr>
          <w:rFonts w:ascii="Times New Roman" w:eastAsia="新細明體" w:hAnsi="Times New Roman" w:cs="Times New Roman"/>
          <w:color w:val="000000"/>
          <w:kern w:val="0"/>
          <w:szCs w:val="24"/>
          <w:lang w:bidi="ar-SA"/>
        </w:rPr>
        <w:t>資訊上，除了</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金額與</w:t>
      </w:r>
      <w:r w:rsidRPr="000C5095">
        <w:rPr>
          <w:rFonts w:ascii="Arial" w:eastAsia="新細明體" w:hAnsi="Arial" w:cs="Arial"/>
          <w:color w:val="000000"/>
          <w:kern w:val="0"/>
          <w:szCs w:val="24"/>
          <w:lang w:bidi="ar-SA"/>
        </w:rPr>
        <w:t>CNTRB_LVL(</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時用戶貢獻度</w:t>
      </w:r>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外，我們選擇試圖類別化</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時</w:t>
      </w:r>
      <w:proofErr w:type="gramStart"/>
      <w:r w:rsidRPr="000C5095">
        <w:rPr>
          <w:rFonts w:ascii="Times New Roman" w:eastAsia="新細明體" w:hAnsi="Times New Roman" w:cs="Times New Roman"/>
          <w:color w:val="000000"/>
          <w:kern w:val="0"/>
          <w:szCs w:val="24"/>
          <w:lang w:bidi="ar-SA"/>
        </w:rPr>
        <w:t>經過隱碼的</w:t>
      </w:r>
      <w:proofErr w:type="gramEnd"/>
      <w:r w:rsidRPr="000C5095">
        <w:rPr>
          <w:rFonts w:ascii="Times New Roman" w:eastAsia="新細明體" w:hAnsi="Times New Roman" w:cs="Times New Roman"/>
          <w:color w:val="000000"/>
          <w:kern w:val="0"/>
          <w:szCs w:val="24"/>
          <w:lang w:bidi="ar-SA"/>
        </w:rPr>
        <w:t>手機廠牌</w:t>
      </w:r>
      <w:r w:rsidRPr="000C5095">
        <w:rPr>
          <w:rFonts w:ascii="Arial" w:eastAsia="新細明體" w:hAnsi="Arial" w:cs="Arial"/>
          <w:color w:val="000000"/>
          <w:kern w:val="0"/>
          <w:szCs w:val="24"/>
          <w:lang w:bidi="ar-SA"/>
        </w:rPr>
        <w:t>(HANDSET)</w:t>
      </w:r>
      <w:r w:rsidRPr="000C5095">
        <w:rPr>
          <w:rFonts w:ascii="Times New Roman" w:eastAsia="新細明體" w:hAnsi="Times New Roman" w:cs="Times New Roman"/>
          <w:color w:val="000000"/>
          <w:kern w:val="0"/>
          <w:szCs w:val="24"/>
          <w:lang w:bidi="ar-SA"/>
        </w:rPr>
        <w:t>，以評估其對應變數之影響；而月底資訊同樣考量到有多元共線性之可能，因此最後只選取</w:t>
      </w:r>
      <w:r w:rsidRPr="000C5095">
        <w:rPr>
          <w:rFonts w:ascii="Arial" w:eastAsia="新細明體" w:hAnsi="Arial" w:cs="Arial"/>
          <w:color w:val="000000"/>
          <w:kern w:val="0"/>
          <w:szCs w:val="24"/>
          <w:lang w:bidi="ar-SA"/>
        </w:rPr>
        <w:t>RATE_PLAN_RNG(</w:t>
      </w:r>
      <w:r w:rsidRPr="000C5095">
        <w:rPr>
          <w:rFonts w:ascii="Times New Roman" w:eastAsia="新細明體" w:hAnsi="Times New Roman" w:cs="Times New Roman"/>
          <w:color w:val="000000"/>
          <w:kern w:val="0"/>
          <w:szCs w:val="24"/>
          <w:lang w:bidi="ar-SA"/>
        </w:rPr>
        <w:t>月底專案實收</w:t>
      </w:r>
      <w:proofErr w:type="gramStart"/>
      <w:r w:rsidRPr="000C5095">
        <w:rPr>
          <w:rFonts w:ascii="Times New Roman" w:eastAsia="新細明體" w:hAnsi="Times New Roman" w:cs="Times New Roman"/>
          <w:color w:val="000000"/>
          <w:kern w:val="0"/>
          <w:szCs w:val="24"/>
          <w:lang w:bidi="ar-SA"/>
        </w:rPr>
        <w:t>總資費級</w:t>
      </w:r>
      <w:proofErr w:type="gramEnd"/>
      <w:r w:rsidRPr="000C5095">
        <w:rPr>
          <w:rFonts w:ascii="Times New Roman" w:eastAsia="新細明體" w:hAnsi="Times New Roman" w:cs="Times New Roman"/>
          <w:color w:val="000000"/>
          <w:kern w:val="0"/>
          <w:szCs w:val="24"/>
          <w:lang w:bidi="ar-SA"/>
        </w:rPr>
        <w:t>距</w:t>
      </w:r>
      <w:r w:rsidRPr="000C5095">
        <w:rPr>
          <w:rFonts w:ascii="Arial" w:eastAsia="新細明體" w:hAnsi="Arial" w:cs="Arial"/>
          <w:color w:val="000000"/>
          <w:kern w:val="0"/>
          <w:szCs w:val="24"/>
          <w:lang w:bidi="ar-SA"/>
        </w:rPr>
        <w:t>)</w:t>
      </w:r>
      <w:r w:rsidRPr="000C5095">
        <w:rPr>
          <w:rFonts w:ascii="Times New Roman" w:eastAsia="新細明體" w:hAnsi="Times New Roman" w:cs="Times New Roman"/>
          <w:color w:val="000000"/>
          <w:kern w:val="0"/>
          <w:szCs w:val="24"/>
          <w:lang w:bidi="ar-SA"/>
        </w:rPr>
        <w:t>作為解釋變數。</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而在</w:t>
      </w:r>
      <w:r w:rsidRPr="000C5095">
        <w:rPr>
          <w:rFonts w:ascii="Arial" w:eastAsia="新細明體" w:hAnsi="Arial" w:cs="Arial"/>
          <w:color w:val="000000"/>
          <w:kern w:val="0"/>
          <w:szCs w:val="24"/>
          <w:lang w:bidi="ar-SA"/>
        </w:rPr>
        <w:t>DCB</w:t>
      </w:r>
      <w:r w:rsidRPr="000C5095">
        <w:rPr>
          <w:rFonts w:ascii="Times New Roman" w:eastAsia="新細明體" w:hAnsi="Times New Roman" w:cs="Times New Roman"/>
          <w:color w:val="000000"/>
          <w:kern w:val="0"/>
          <w:szCs w:val="24"/>
          <w:lang w:bidi="ar-SA"/>
        </w:rPr>
        <w:t>額度資訊上，主要</w:t>
      </w:r>
      <w:proofErr w:type="gramStart"/>
      <w:r w:rsidRPr="000C5095">
        <w:rPr>
          <w:rFonts w:ascii="Times New Roman" w:eastAsia="新細明體" w:hAnsi="Times New Roman" w:cs="Times New Roman"/>
          <w:color w:val="000000"/>
          <w:kern w:val="0"/>
          <w:szCs w:val="24"/>
          <w:lang w:bidi="ar-SA"/>
        </w:rPr>
        <w:t>有進線與</w:t>
      </w:r>
      <w:proofErr w:type="gramEnd"/>
      <w:r w:rsidRPr="000C5095">
        <w:rPr>
          <w:rFonts w:ascii="Times New Roman" w:eastAsia="新細明體" w:hAnsi="Times New Roman" w:cs="Times New Roman"/>
          <w:color w:val="000000"/>
          <w:kern w:val="0"/>
          <w:szCs w:val="24"/>
          <w:lang w:bidi="ar-SA"/>
        </w:rPr>
        <w:t>使用額度兩大類的資料，因此我們選擇各採取一個指標納入模型中，分別為：</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L3_AVG_MODI_CNT(</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w:t>
      </w:r>
      <w:proofErr w:type="gramStart"/>
      <w:r w:rsidRPr="000C5095">
        <w:rPr>
          <w:rFonts w:ascii="Times New Roman" w:eastAsia="新細明體" w:hAnsi="Times New Roman" w:cs="Times New Roman"/>
          <w:color w:val="000000"/>
          <w:kern w:val="0"/>
          <w:szCs w:val="24"/>
          <w:lang w:bidi="ar-SA"/>
        </w:rPr>
        <w:t>每月進線調整</w:t>
      </w:r>
      <w:proofErr w:type="gramEnd"/>
      <w:r w:rsidRPr="000C5095">
        <w:rPr>
          <w:rFonts w:ascii="Times New Roman" w:eastAsia="新細明體" w:hAnsi="Times New Roman" w:cs="Times New Roman"/>
          <w:color w:val="000000"/>
          <w:kern w:val="0"/>
          <w:szCs w:val="24"/>
          <w:lang w:bidi="ar-SA"/>
        </w:rPr>
        <w:t>次數</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L3_AVG_USED_QUOTA(</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月每月平均使用額度</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在</w:t>
      </w:r>
      <w:r w:rsidRPr="000C5095">
        <w:rPr>
          <w:rFonts w:ascii="Arial" w:eastAsia="新細明體" w:hAnsi="Arial" w:cs="Arial"/>
          <w:color w:val="000000"/>
          <w:kern w:val="0"/>
          <w:szCs w:val="24"/>
          <w:lang w:bidi="ar-SA"/>
        </w:rPr>
        <w:t>DCB</w:t>
      </w:r>
      <w:r w:rsidRPr="000C5095">
        <w:rPr>
          <w:rFonts w:ascii="Times New Roman" w:eastAsia="新細明體" w:hAnsi="Times New Roman" w:cs="Times New Roman"/>
          <w:color w:val="000000"/>
          <w:kern w:val="0"/>
          <w:szCs w:val="24"/>
          <w:lang w:bidi="ar-SA"/>
        </w:rPr>
        <w:t>交易資訊上，則納入了其近三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月的購買狀況，包含了：</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N3_MONTH_PRCH_CNT_PER_MONTH(</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月平均購買次數</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N3_MONTH_PRCH_AMOUNT_PER_MONTH(</w:t>
      </w:r>
      <w:r w:rsidRPr="000C5095">
        <w:rPr>
          <w:rFonts w:ascii="Times New Roman" w:eastAsia="新細明體" w:hAnsi="Times New Roman" w:cs="Times New Roman"/>
          <w:color w:val="000000"/>
          <w:kern w:val="0"/>
          <w:szCs w:val="24"/>
          <w:lang w:bidi="ar-SA"/>
        </w:rPr>
        <w:t>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月平均購買金額</w:t>
      </w:r>
      <w:r w:rsidRPr="000C5095">
        <w:rPr>
          <w:rFonts w:ascii="Arial" w:eastAsia="新細明體" w:hAnsi="Arial" w:cs="Arial"/>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另外，我們也想了解購買程度在全體排名當中的位置與我們所設定的應變數之間的關係，因此採用了</w:t>
      </w:r>
      <w:r w:rsidRPr="000C5095">
        <w:rPr>
          <w:rFonts w:ascii="Arial" w:eastAsia="新細明體" w:hAnsi="Arial" w:cs="Arial"/>
          <w:color w:val="000000"/>
          <w:kern w:val="0"/>
          <w:szCs w:val="24"/>
          <w:lang w:bidi="ar-SA"/>
        </w:rPr>
        <w:t>L3_AVG_AMT_NITILE_OVER_50_FLAG(</w:t>
      </w:r>
      <w:r w:rsidRPr="000C5095">
        <w:rPr>
          <w:rFonts w:ascii="Times New Roman" w:eastAsia="新細明體" w:hAnsi="Times New Roman" w:cs="Times New Roman"/>
          <w:color w:val="000000"/>
          <w:kern w:val="0"/>
          <w:szCs w:val="24"/>
          <w:lang w:bidi="ar-SA"/>
        </w:rPr>
        <w:t>是否為近三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月整體</w:t>
      </w:r>
      <w:r w:rsidRPr="000C5095">
        <w:rPr>
          <w:rFonts w:ascii="Arial" w:eastAsia="新細明體" w:hAnsi="Arial" w:cs="Arial"/>
          <w:color w:val="000000"/>
          <w:kern w:val="0"/>
          <w:szCs w:val="24"/>
          <w:lang w:bidi="ar-SA"/>
        </w:rPr>
        <w:t>DCB</w:t>
      </w:r>
      <w:r w:rsidRPr="000C5095">
        <w:rPr>
          <w:rFonts w:ascii="Times New Roman" w:eastAsia="新細明體" w:hAnsi="Times New Roman" w:cs="Times New Roman"/>
          <w:color w:val="000000"/>
          <w:kern w:val="0"/>
          <w:szCs w:val="24"/>
          <w:lang w:bidi="ar-SA"/>
        </w:rPr>
        <w:t>用戶消費前</w:t>
      </w:r>
      <w:r w:rsidRPr="000C5095">
        <w:rPr>
          <w:rFonts w:ascii="Arial" w:eastAsia="新細明體" w:hAnsi="Arial" w:cs="Arial"/>
          <w:color w:val="000000"/>
          <w:kern w:val="0"/>
          <w:szCs w:val="24"/>
          <w:lang w:bidi="ar-SA"/>
        </w:rPr>
        <w:t>50%)</w:t>
      </w:r>
      <w:r w:rsidRPr="000C5095">
        <w:rPr>
          <w:rFonts w:ascii="Times New Roman" w:eastAsia="新細明體" w:hAnsi="Times New Roman" w:cs="Times New Roman"/>
          <w:color w:val="000000"/>
          <w:kern w:val="0"/>
          <w:szCs w:val="24"/>
          <w:lang w:bidi="ar-SA"/>
        </w:rPr>
        <w:t>，以</w:t>
      </w:r>
      <w:r w:rsidRPr="000C5095">
        <w:rPr>
          <w:rFonts w:ascii="Arial" w:eastAsia="新細明體" w:hAnsi="Arial" w:cs="Arial"/>
          <w:color w:val="000000"/>
          <w:kern w:val="0"/>
          <w:szCs w:val="24"/>
          <w:lang w:bidi="ar-SA"/>
        </w:rPr>
        <w:t>N</w:t>
      </w:r>
      <w:r w:rsidRPr="000C5095">
        <w:rPr>
          <w:rFonts w:ascii="Times New Roman" w:eastAsia="新細明體" w:hAnsi="Times New Roman" w:cs="Times New Roman"/>
          <w:color w:val="000000"/>
          <w:kern w:val="0"/>
          <w:szCs w:val="24"/>
          <w:lang w:bidi="ar-SA"/>
        </w:rPr>
        <w:t>為</w:t>
      </w:r>
      <w:r w:rsidRPr="000C5095">
        <w:rPr>
          <w:rFonts w:ascii="Arial" w:eastAsia="新細明體" w:hAnsi="Arial" w:cs="Arial"/>
          <w:color w:val="000000"/>
          <w:kern w:val="0"/>
          <w:szCs w:val="24"/>
          <w:lang w:bidi="ar-SA"/>
        </w:rPr>
        <w:t>reference level</w:t>
      </w:r>
      <w:r w:rsidRPr="000C5095">
        <w:rPr>
          <w:rFonts w:ascii="Times New Roman" w:eastAsia="新細明體" w:hAnsi="Times New Roman" w:cs="Times New Roman"/>
          <w:color w:val="000000"/>
          <w:kern w:val="0"/>
          <w:szCs w:val="24"/>
          <w:lang w:bidi="ar-SA"/>
        </w:rPr>
        <w:t>，探討其與</w:t>
      </w:r>
      <w:r w:rsidRPr="000C5095">
        <w:rPr>
          <w:rFonts w:ascii="Arial" w:eastAsia="新細明體" w:hAnsi="Arial" w:cs="Arial"/>
          <w:color w:val="000000"/>
          <w:kern w:val="0"/>
          <w:szCs w:val="24"/>
          <w:lang w:bidi="ar-SA"/>
        </w:rPr>
        <w:t>NA</w:t>
      </w:r>
      <w:r w:rsidRPr="000C5095">
        <w:rPr>
          <w:rFonts w:ascii="Times New Roman" w:eastAsia="新細明體" w:hAnsi="Times New Roman" w:cs="Times New Roman"/>
          <w:color w:val="000000"/>
          <w:kern w:val="0"/>
          <w:szCs w:val="24"/>
          <w:lang w:bidi="ar-SA"/>
        </w:rPr>
        <w:t>、</w:t>
      </w:r>
      <w:r w:rsidRPr="000C5095">
        <w:rPr>
          <w:rFonts w:ascii="Arial" w:eastAsia="新細明體" w:hAnsi="Arial" w:cs="Arial"/>
          <w:color w:val="000000"/>
          <w:kern w:val="0"/>
          <w:szCs w:val="24"/>
          <w:lang w:bidi="ar-SA"/>
        </w:rPr>
        <w:t>Y</w:t>
      </w:r>
      <w:r w:rsidRPr="000C5095">
        <w:rPr>
          <w:rFonts w:ascii="Times New Roman" w:eastAsia="新細明體" w:hAnsi="Times New Roman" w:cs="Times New Roman"/>
          <w:color w:val="000000"/>
          <w:kern w:val="0"/>
          <w:szCs w:val="24"/>
          <w:lang w:bidi="ar-SA"/>
        </w:rPr>
        <w:t>之間的</w:t>
      </w:r>
      <w:proofErr w:type="gramStart"/>
      <w:r w:rsidRPr="000C5095">
        <w:rPr>
          <w:rFonts w:ascii="Times New Roman" w:eastAsia="新細明體" w:hAnsi="Times New Roman" w:cs="Times New Roman"/>
          <w:color w:val="000000"/>
          <w:kern w:val="0"/>
          <w:szCs w:val="24"/>
          <w:lang w:bidi="ar-SA"/>
        </w:rPr>
        <w:t>截距差</w:t>
      </w:r>
      <w:proofErr w:type="gramEnd"/>
      <w:r w:rsidRPr="000C5095">
        <w:rPr>
          <w:rFonts w:ascii="Times New Roman" w:eastAsia="新細明體" w:hAnsi="Times New Roman" w:cs="Times New Roman"/>
          <w:color w:val="000000"/>
          <w:kern w:val="0"/>
          <w:szCs w:val="24"/>
          <w:lang w:bidi="ar-SA"/>
        </w:rPr>
        <w:t>。</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9B49C3">
      <w:pPr>
        <w:widowControl/>
        <w:rPr>
          <w:rFonts w:ascii="新細明體" w:eastAsia="新細明體" w:hAnsi="新細明體" w:cs="新細明體" w:hint="eastAsia"/>
          <w:kern w:val="0"/>
          <w:szCs w:val="24"/>
          <w:lang w:bidi="ar-SA"/>
        </w:rPr>
      </w:pPr>
      <w:r w:rsidRPr="000C5095">
        <w:rPr>
          <w:rFonts w:ascii="Arial" w:eastAsia="新細明體" w:hAnsi="Arial" w:cs="Arial"/>
          <w:color w:val="000000"/>
          <w:kern w:val="0"/>
          <w:szCs w:val="24"/>
          <w:lang w:bidi="ar-SA"/>
        </w:rPr>
        <w:t>*N3_PEAK_TIME_REFUND_NTILE_50_AMT_PER_MONTH_FLAG</w:t>
      </w:r>
      <w:bookmarkStart w:id="0" w:name="_GoBack"/>
      <w:bookmarkEnd w:id="0"/>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lastRenderedPageBreak/>
        <w:t> </w:t>
      </w:r>
      <w:r w:rsidRPr="000C5095">
        <w:rPr>
          <w:rFonts w:ascii="Arial" w:eastAsia="新細明體" w:hAnsi="Arial" w:cs="Arial"/>
          <w:noProof/>
          <w:color w:val="000000"/>
          <w:kern w:val="0"/>
          <w:szCs w:val="24"/>
          <w:bdr w:val="none" w:sz="0" w:space="0" w:color="auto" w:frame="1"/>
          <w:lang w:bidi="ar-SA"/>
        </w:rPr>
        <w:drawing>
          <wp:inline distT="0" distB="0" distL="0" distR="0">
            <wp:extent cx="5274310" cy="437832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78325"/>
                    </a:xfrm>
                    <a:prstGeom prst="rect">
                      <a:avLst/>
                    </a:prstGeom>
                    <a:noFill/>
                    <a:ln>
                      <a:noFill/>
                    </a:ln>
                  </pic:spPr>
                </pic:pic>
              </a:graphicData>
            </a:graphic>
          </wp:inline>
        </w:drawing>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noProof/>
          <w:color w:val="000000"/>
          <w:kern w:val="0"/>
          <w:szCs w:val="24"/>
          <w:bdr w:val="none" w:sz="0" w:space="0" w:color="auto" w:frame="1"/>
          <w:lang w:bidi="ar-SA"/>
        </w:rPr>
        <w:drawing>
          <wp:inline distT="0" distB="0" distL="0" distR="0">
            <wp:extent cx="5274310" cy="365379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53790"/>
                    </a:xfrm>
                    <a:prstGeom prst="rect">
                      <a:avLst/>
                    </a:prstGeom>
                    <a:noFill/>
                    <a:ln>
                      <a:noFill/>
                    </a:ln>
                  </pic:spPr>
                </pic:pic>
              </a:graphicData>
            </a:graphic>
          </wp:inline>
        </w:drawing>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lastRenderedPageBreak/>
        <w:t>模型</w:t>
      </w:r>
      <w:proofErr w:type="gramStart"/>
      <w:r w:rsidRPr="000C5095">
        <w:rPr>
          <w:rFonts w:ascii="Times New Roman" w:eastAsia="新細明體" w:hAnsi="Times New Roman" w:cs="Times New Roman"/>
          <w:color w:val="000000"/>
          <w:kern w:val="0"/>
          <w:szCs w:val="24"/>
          <w:lang w:bidi="ar-SA"/>
        </w:rPr>
        <w:t>一</w:t>
      </w:r>
      <w:proofErr w:type="gramEnd"/>
      <w:r w:rsidRPr="000C5095">
        <w:rPr>
          <w:rFonts w:ascii="Times New Roman" w:eastAsia="新細明體" w:hAnsi="Times New Roman" w:cs="Times New Roman"/>
          <w:color w:val="000000"/>
          <w:kern w:val="0"/>
          <w:szCs w:val="24"/>
          <w:lang w:bidi="ar-SA"/>
        </w:rPr>
        <w:t>總結與詮釋及需要改進之處：</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在年齡層上，以</w:t>
      </w:r>
      <w:r w:rsidRPr="000C5095">
        <w:rPr>
          <w:rFonts w:ascii="Arial" w:eastAsia="新細明體" w:hAnsi="Arial" w:cs="Arial"/>
          <w:color w:val="000000"/>
          <w:kern w:val="0"/>
          <w:szCs w:val="24"/>
          <w:lang w:bidi="ar-SA"/>
        </w:rPr>
        <w:t>20</w:t>
      </w:r>
      <w:r w:rsidRPr="000C5095">
        <w:rPr>
          <w:rFonts w:ascii="Times New Roman" w:eastAsia="新細明體" w:hAnsi="Times New Roman" w:cs="Times New Roman"/>
          <w:color w:val="000000"/>
          <w:kern w:val="0"/>
          <w:szCs w:val="24"/>
          <w:lang w:bidi="ar-SA"/>
        </w:rPr>
        <w:t>歲以下者作為</w:t>
      </w:r>
      <w:r w:rsidRPr="000C5095">
        <w:rPr>
          <w:rFonts w:ascii="Arial" w:eastAsia="新細明體" w:hAnsi="Arial" w:cs="Arial"/>
          <w:color w:val="000000"/>
          <w:kern w:val="0"/>
          <w:szCs w:val="24"/>
          <w:lang w:bidi="ar-SA"/>
        </w:rPr>
        <w:t>reference level</w:t>
      </w:r>
      <w:r w:rsidRPr="000C5095">
        <w:rPr>
          <w:rFonts w:ascii="Times New Roman" w:eastAsia="新細明體" w:hAnsi="Times New Roman" w:cs="Times New Roman"/>
          <w:color w:val="000000"/>
          <w:kern w:val="0"/>
          <w:szCs w:val="24"/>
          <w:lang w:bidi="ar-SA"/>
        </w:rPr>
        <w:t>，各年齡層相對於我們所選定之指標皆有顯著差異；而累積租期越長，對指標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亦有正面影響；至於有主門號註記者反而使指標下降，推測可能與非主門號手機反而會是進行代收消費的客群有關。</w:t>
      </w:r>
      <w:proofErr w:type="gramStart"/>
      <w:r w:rsidRPr="000C5095">
        <w:rPr>
          <w:rFonts w:ascii="Times New Roman" w:eastAsia="新細明體" w:hAnsi="Times New Roman" w:cs="Times New Roman"/>
          <w:color w:val="000000"/>
          <w:kern w:val="0"/>
          <w:szCs w:val="24"/>
          <w:lang w:bidi="ar-SA"/>
        </w:rPr>
        <w:t>被隱碼</w:t>
      </w:r>
      <w:proofErr w:type="gramEnd"/>
      <w:r w:rsidRPr="000C5095">
        <w:rPr>
          <w:rFonts w:ascii="Times New Roman" w:eastAsia="新細明體" w:hAnsi="Times New Roman" w:cs="Times New Roman"/>
          <w:color w:val="000000"/>
          <w:kern w:val="0"/>
          <w:szCs w:val="24"/>
          <w:lang w:bidi="ar-SA"/>
        </w:rPr>
        <w:t>的新申裝</w:t>
      </w:r>
      <w:proofErr w:type="gramStart"/>
      <w:r w:rsidRPr="000C5095">
        <w:rPr>
          <w:rFonts w:ascii="Times New Roman" w:eastAsia="新細明體" w:hAnsi="Times New Roman" w:cs="Times New Roman"/>
          <w:color w:val="000000"/>
          <w:kern w:val="0"/>
          <w:szCs w:val="24"/>
          <w:lang w:bidi="ar-SA"/>
        </w:rPr>
        <w:t>與攜碼</w:t>
      </w:r>
      <w:proofErr w:type="gramEnd"/>
      <w:r w:rsidRPr="000C5095">
        <w:rPr>
          <w:rFonts w:ascii="Times New Roman" w:eastAsia="新細明體" w:hAnsi="Times New Roman" w:cs="Times New Roman"/>
          <w:color w:val="000000"/>
          <w:kern w:val="0"/>
          <w:szCs w:val="24"/>
          <w:lang w:bidi="ar-SA"/>
        </w:rPr>
        <w:t>客戶經類別化變數後，除了</w:t>
      </w:r>
      <w:r w:rsidRPr="000C5095">
        <w:rPr>
          <w:rFonts w:ascii="Arial" w:eastAsia="新細明體" w:hAnsi="Arial" w:cs="Arial"/>
          <w:color w:val="000000"/>
          <w:kern w:val="0"/>
          <w:szCs w:val="24"/>
          <w:lang w:bidi="ar-SA"/>
        </w:rPr>
        <w:t>2</w:t>
      </w:r>
      <w:proofErr w:type="gramStart"/>
      <w:r w:rsidRPr="000C5095">
        <w:rPr>
          <w:rFonts w:ascii="Times New Roman" w:eastAsia="新細明體" w:hAnsi="Times New Roman" w:cs="Times New Roman"/>
          <w:color w:val="000000"/>
          <w:kern w:val="0"/>
          <w:szCs w:val="24"/>
          <w:lang w:bidi="ar-SA"/>
        </w:rPr>
        <w:t>以外，其餘</w:t>
      </w:r>
      <w:proofErr w:type="gramEnd"/>
      <w:r w:rsidRPr="000C5095">
        <w:rPr>
          <w:rFonts w:ascii="Times New Roman" w:eastAsia="新細明體" w:hAnsi="Times New Roman" w:cs="Times New Roman"/>
          <w:color w:val="000000"/>
          <w:kern w:val="0"/>
          <w:szCs w:val="24"/>
          <w:lang w:bidi="ar-SA"/>
        </w:rPr>
        <w:t>皆與</w:t>
      </w:r>
      <w:r w:rsidRPr="000C5095">
        <w:rPr>
          <w:rFonts w:ascii="Arial" w:eastAsia="新細明體" w:hAnsi="Arial" w:cs="Arial"/>
          <w:color w:val="000000"/>
          <w:kern w:val="0"/>
          <w:szCs w:val="24"/>
          <w:lang w:bidi="ar-SA"/>
        </w:rPr>
        <w:t>reference level 1</w:t>
      </w:r>
      <w:r w:rsidRPr="000C5095">
        <w:rPr>
          <w:rFonts w:ascii="Times New Roman" w:eastAsia="新細明體" w:hAnsi="Times New Roman" w:cs="Times New Roman"/>
          <w:color w:val="000000"/>
          <w:kern w:val="0"/>
          <w:szCs w:val="24"/>
          <w:lang w:bidi="ar-SA"/>
        </w:rPr>
        <w:t>有顯著差異。在繳費通路方面，以</w:t>
      </w:r>
      <w:r w:rsidRPr="000C5095">
        <w:rPr>
          <w:rFonts w:ascii="Arial" w:eastAsia="新細明體" w:hAnsi="Arial" w:cs="Arial"/>
          <w:color w:val="000000"/>
          <w:kern w:val="0"/>
          <w:szCs w:val="24"/>
          <w:lang w:bidi="ar-SA"/>
        </w:rPr>
        <w:t>711</w:t>
      </w:r>
      <w:r w:rsidRPr="000C5095">
        <w:rPr>
          <w:rFonts w:ascii="Times New Roman" w:eastAsia="新細明體" w:hAnsi="Times New Roman" w:cs="Times New Roman"/>
          <w:color w:val="000000"/>
          <w:kern w:val="0"/>
          <w:szCs w:val="24"/>
          <w:lang w:bidi="ar-SA"/>
        </w:rPr>
        <w:t>為</w:t>
      </w:r>
      <w:r w:rsidRPr="000C5095">
        <w:rPr>
          <w:rFonts w:ascii="Arial" w:eastAsia="新細明體" w:hAnsi="Arial" w:cs="Arial"/>
          <w:color w:val="000000"/>
          <w:kern w:val="0"/>
          <w:szCs w:val="24"/>
          <w:lang w:bidi="ar-SA"/>
        </w:rPr>
        <w:t>reference level</w:t>
      </w:r>
      <w:r w:rsidRPr="000C5095">
        <w:rPr>
          <w:rFonts w:ascii="Times New Roman" w:eastAsia="新細明體" w:hAnsi="Times New Roman" w:cs="Times New Roman"/>
          <w:color w:val="000000"/>
          <w:kern w:val="0"/>
          <w:szCs w:val="24"/>
          <w:lang w:bidi="ar-SA"/>
        </w:rPr>
        <w:t>，可發現電通加盟與直營門市繳費者相對而言有顯著差異，應該是需要積極經營的高潛力客戶。</w:t>
      </w:r>
    </w:p>
    <w:p w:rsidR="000C5095" w:rsidRPr="000C5095" w:rsidRDefault="000C5095" w:rsidP="000C5095">
      <w:pPr>
        <w:widowControl/>
        <w:rPr>
          <w:rFonts w:ascii="新細明體" w:eastAsia="新細明體" w:hAnsi="新細明體" w:cs="新細明體"/>
          <w:kern w:val="0"/>
          <w:szCs w:val="24"/>
          <w:lang w:bidi="ar-SA"/>
        </w:rPr>
      </w:pPr>
    </w:p>
    <w:p w:rsidR="000C5095" w:rsidRPr="000C5095" w:rsidRDefault="000C5095" w:rsidP="000C5095">
      <w:pPr>
        <w:widowControl/>
        <w:rPr>
          <w:rFonts w:ascii="新細明體" w:eastAsia="新細明體" w:hAnsi="新細明體" w:cs="新細明體"/>
          <w:kern w:val="0"/>
          <w:szCs w:val="24"/>
          <w:lang w:bidi="ar-SA"/>
        </w:rPr>
      </w:pPr>
      <w:proofErr w:type="gramStart"/>
      <w:r w:rsidRPr="000C5095">
        <w:rPr>
          <w:rFonts w:ascii="Times New Roman" w:eastAsia="新細明體" w:hAnsi="Times New Roman" w:cs="Times New Roman"/>
          <w:color w:val="000000"/>
          <w:kern w:val="0"/>
          <w:szCs w:val="24"/>
          <w:lang w:bidi="ar-SA"/>
        </w:rPr>
        <w:t>此外，</w:t>
      </w:r>
      <w:proofErr w:type="gramEnd"/>
      <w:r w:rsidRPr="000C5095">
        <w:rPr>
          <w:rFonts w:ascii="Times New Roman" w:eastAsia="新細明體" w:hAnsi="Times New Roman" w:cs="Times New Roman"/>
          <w:color w:val="000000"/>
          <w:kern w:val="0"/>
          <w:szCs w:val="24"/>
          <w:lang w:bidi="ar-SA"/>
        </w:rPr>
        <w:t>平均每</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月的加值服務消費金額與簡訊消費金額則會使指標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下降，可能與消費者的預算限制有所關聯。至於</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時用戶貢獻度以</w:t>
      </w:r>
      <w:r w:rsidRPr="000C5095">
        <w:rPr>
          <w:rFonts w:ascii="Arial" w:eastAsia="新細明體" w:hAnsi="Arial" w:cs="Arial"/>
          <w:color w:val="000000"/>
          <w:kern w:val="0"/>
          <w:szCs w:val="24"/>
          <w:lang w:bidi="ar-SA"/>
        </w:rPr>
        <w:t>A</w:t>
      </w:r>
      <w:r w:rsidRPr="000C5095">
        <w:rPr>
          <w:rFonts w:ascii="Times New Roman" w:eastAsia="新細明體" w:hAnsi="Times New Roman" w:cs="Times New Roman"/>
          <w:color w:val="000000"/>
          <w:kern w:val="0"/>
          <w:szCs w:val="24"/>
          <w:lang w:bidi="ar-SA"/>
        </w:rPr>
        <w:t>作為</w:t>
      </w:r>
      <w:r w:rsidRPr="000C5095">
        <w:rPr>
          <w:rFonts w:ascii="Arial" w:eastAsia="新細明體" w:hAnsi="Arial" w:cs="Arial"/>
          <w:color w:val="000000"/>
          <w:kern w:val="0"/>
          <w:szCs w:val="24"/>
          <w:lang w:bidi="ar-SA"/>
        </w:rPr>
        <w:t>reference level</w:t>
      </w:r>
      <w:r w:rsidRPr="000C5095">
        <w:rPr>
          <w:rFonts w:ascii="Times New Roman" w:eastAsia="新細明體" w:hAnsi="Times New Roman" w:cs="Times New Roman"/>
          <w:color w:val="000000"/>
          <w:kern w:val="0"/>
          <w:szCs w:val="24"/>
          <w:lang w:bidi="ar-SA"/>
        </w:rPr>
        <w:t>時與其他</w:t>
      </w:r>
      <w:r w:rsidRPr="000C5095">
        <w:rPr>
          <w:rFonts w:ascii="Arial" w:eastAsia="新細明體" w:hAnsi="Arial" w:cs="Arial"/>
          <w:color w:val="000000"/>
          <w:kern w:val="0"/>
          <w:szCs w:val="24"/>
          <w:lang w:bidi="ar-SA"/>
        </w:rPr>
        <w:t>level</w:t>
      </w:r>
      <w:proofErr w:type="gramStart"/>
      <w:r w:rsidRPr="000C5095">
        <w:rPr>
          <w:rFonts w:ascii="Times New Roman" w:eastAsia="新細明體" w:hAnsi="Times New Roman" w:cs="Times New Roman"/>
          <w:color w:val="000000"/>
          <w:kern w:val="0"/>
          <w:szCs w:val="24"/>
          <w:lang w:bidi="ar-SA"/>
        </w:rPr>
        <w:t>間有顯著</w:t>
      </w:r>
      <w:proofErr w:type="gramEnd"/>
      <w:r w:rsidRPr="000C5095">
        <w:rPr>
          <w:rFonts w:ascii="Times New Roman" w:eastAsia="新細明體" w:hAnsi="Times New Roman" w:cs="Times New Roman"/>
          <w:color w:val="000000"/>
          <w:kern w:val="0"/>
          <w:szCs w:val="24"/>
          <w:lang w:bidi="ar-SA"/>
        </w:rPr>
        <w:t>性不等的差異，因此可考慮改變參考基準後再次衡量此變數對於應變數的影響。另外，</w:t>
      </w:r>
      <w:proofErr w:type="gramStart"/>
      <w:r w:rsidRPr="000C5095">
        <w:rPr>
          <w:rFonts w:ascii="Times New Roman" w:eastAsia="新細明體" w:hAnsi="Times New Roman" w:cs="Times New Roman"/>
          <w:color w:val="000000"/>
          <w:kern w:val="0"/>
          <w:szCs w:val="24"/>
          <w:lang w:bidi="ar-SA"/>
        </w:rPr>
        <w:t>被隱碼</w:t>
      </w:r>
      <w:proofErr w:type="gramEnd"/>
      <w:r w:rsidRPr="000C5095">
        <w:rPr>
          <w:rFonts w:ascii="Times New Roman" w:eastAsia="新細明體" w:hAnsi="Times New Roman" w:cs="Times New Roman"/>
          <w:color w:val="000000"/>
          <w:kern w:val="0"/>
          <w:szCs w:val="24"/>
          <w:lang w:bidi="ar-SA"/>
        </w:rPr>
        <w:t>的</w:t>
      </w:r>
      <w:proofErr w:type="gramStart"/>
      <w:r w:rsidRPr="000C5095">
        <w:rPr>
          <w:rFonts w:ascii="Times New Roman" w:eastAsia="新細明體" w:hAnsi="Times New Roman" w:cs="Times New Roman"/>
          <w:color w:val="000000"/>
          <w:kern w:val="0"/>
          <w:szCs w:val="24"/>
          <w:lang w:bidi="ar-SA"/>
        </w:rPr>
        <w:t>出帳</w:t>
      </w:r>
      <w:proofErr w:type="gramEnd"/>
      <w:r w:rsidRPr="000C5095">
        <w:rPr>
          <w:rFonts w:ascii="Times New Roman" w:eastAsia="新細明體" w:hAnsi="Times New Roman" w:cs="Times New Roman"/>
          <w:color w:val="000000"/>
          <w:kern w:val="0"/>
          <w:szCs w:val="24"/>
          <w:lang w:bidi="ar-SA"/>
        </w:rPr>
        <w:t>時手機廠牌對指標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亦有顯著性不等之差異，建議可進一步針對品牌了解之。在月底專案實收</w:t>
      </w:r>
      <w:proofErr w:type="gramStart"/>
      <w:r w:rsidRPr="000C5095">
        <w:rPr>
          <w:rFonts w:ascii="Times New Roman" w:eastAsia="新細明體" w:hAnsi="Times New Roman" w:cs="Times New Roman"/>
          <w:color w:val="000000"/>
          <w:kern w:val="0"/>
          <w:szCs w:val="24"/>
          <w:lang w:bidi="ar-SA"/>
        </w:rPr>
        <w:t>總資費級</w:t>
      </w:r>
      <w:proofErr w:type="gramEnd"/>
      <w:r w:rsidRPr="000C5095">
        <w:rPr>
          <w:rFonts w:ascii="Times New Roman" w:eastAsia="新細明體" w:hAnsi="Times New Roman" w:cs="Times New Roman"/>
          <w:color w:val="000000"/>
          <w:kern w:val="0"/>
          <w:szCs w:val="24"/>
          <w:lang w:bidi="ar-SA"/>
        </w:rPr>
        <w:t>距的方面，級距越高者會使指標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越低，亦是可進一步分析之議題。</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在額度資訊上，無論是平均</w:t>
      </w:r>
      <w:proofErr w:type="gramStart"/>
      <w:r w:rsidRPr="000C5095">
        <w:rPr>
          <w:rFonts w:ascii="Times New Roman" w:eastAsia="新細明體" w:hAnsi="Times New Roman" w:cs="Times New Roman"/>
          <w:color w:val="000000"/>
          <w:kern w:val="0"/>
          <w:szCs w:val="24"/>
          <w:lang w:bidi="ar-SA"/>
        </w:rPr>
        <w:t>每月進線調整</w:t>
      </w:r>
      <w:proofErr w:type="gramEnd"/>
      <w:r w:rsidRPr="000C5095">
        <w:rPr>
          <w:rFonts w:ascii="Times New Roman" w:eastAsia="新細明體" w:hAnsi="Times New Roman" w:cs="Times New Roman"/>
          <w:color w:val="000000"/>
          <w:kern w:val="0"/>
          <w:szCs w:val="24"/>
          <w:lang w:bidi="ar-SA"/>
        </w:rPr>
        <w:t>次數與平均每月使用額度對指標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而言皆有正面影響，至於購買次數對指標</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有負面影響、購買金額則又對</w:t>
      </w:r>
      <w:r w:rsidRPr="000C5095">
        <w:rPr>
          <w:rFonts w:ascii="Arial" w:eastAsia="新細明體" w:hAnsi="Arial" w:cs="Arial"/>
          <w:color w:val="000000"/>
          <w:kern w:val="0"/>
          <w:szCs w:val="24"/>
          <w:lang w:bidi="ar-SA"/>
        </w:rPr>
        <w:t>PAY</w:t>
      </w:r>
      <w:r w:rsidRPr="000C5095">
        <w:rPr>
          <w:rFonts w:ascii="Times New Roman" w:eastAsia="新細明體" w:hAnsi="Times New Roman" w:cs="Times New Roman"/>
          <w:color w:val="000000"/>
          <w:kern w:val="0"/>
          <w:szCs w:val="24"/>
          <w:lang w:bidi="ar-SA"/>
        </w:rPr>
        <w:t>有正面影響，則可能需再進一步調整模型或分析。在「是否為近三</w:t>
      </w:r>
      <w:proofErr w:type="gramStart"/>
      <w:r w:rsidRPr="000C5095">
        <w:rPr>
          <w:rFonts w:ascii="Times New Roman" w:eastAsia="新細明體" w:hAnsi="Times New Roman" w:cs="Times New Roman"/>
          <w:color w:val="000000"/>
          <w:kern w:val="0"/>
          <w:szCs w:val="24"/>
          <w:lang w:bidi="ar-SA"/>
        </w:rPr>
        <w:t>個</w:t>
      </w:r>
      <w:proofErr w:type="gramEnd"/>
      <w:r w:rsidRPr="000C5095">
        <w:rPr>
          <w:rFonts w:ascii="Times New Roman" w:eastAsia="新細明體" w:hAnsi="Times New Roman" w:cs="Times New Roman"/>
          <w:color w:val="000000"/>
          <w:kern w:val="0"/>
          <w:szCs w:val="24"/>
          <w:lang w:bidi="ar-SA"/>
        </w:rPr>
        <w:t>月整體</w:t>
      </w:r>
      <w:r w:rsidRPr="000C5095">
        <w:rPr>
          <w:rFonts w:ascii="Arial" w:eastAsia="新細明體" w:hAnsi="Arial" w:cs="Arial"/>
          <w:color w:val="000000"/>
          <w:kern w:val="0"/>
          <w:szCs w:val="24"/>
          <w:lang w:bidi="ar-SA"/>
        </w:rPr>
        <w:t>DCB</w:t>
      </w:r>
      <w:r w:rsidRPr="000C5095">
        <w:rPr>
          <w:rFonts w:ascii="Times New Roman" w:eastAsia="新細明體" w:hAnsi="Times New Roman" w:cs="Times New Roman"/>
          <w:color w:val="000000"/>
          <w:kern w:val="0"/>
          <w:szCs w:val="24"/>
          <w:lang w:bidi="ar-SA"/>
        </w:rPr>
        <w:t>用戶消費前</w:t>
      </w:r>
      <w:r w:rsidRPr="000C5095">
        <w:rPr>
          <w:rFonts w:ascii="Arial" w:eastAsia="新細明體" w:hAnsi="Arial" w:cs="Arial"/>
          <w:color w:val="000000"/>
          <w:kern w:val="0"/>
          <w:szCs w:val="24"/>
          <w:lang w:bidi="ar-SA"/>
        </w:rPr>
        <w:t>50%</w:t>
      </w:r>
      <w:r w:rsidRPr="000C5095">
        <w:rPr>
          <w:rFonts w:ascii="Times New Roman" w:eastAsia="新細明體" w:hAnsi="Times New Roman" w:cs="Times New Roman"/>
          <w:color w:val="000000"/>
          <w:kern w:val="0"/>
          <w:szCs w:val="24"/>
          <w:lang w:bidi="ar-SA"/>
        </w:rPr>
        <w:t>」這個議題上，以</w:t>
      </w:r>
      <w:r w:rsidRPr="000C5095">
        <w:rPr>
          <w:rFonts w:ascii="Arial" w:eastAsia="新細明體" w:hAnsi="Arial" w:cs="Arial"/>
          <w:color w:val="000000"/>
          <w:kern w:val="0"/>
          <w:szCs w:val="24"/>
          <w:lang w:bidi="ar-SA"/>
        </w:rPr>
        <w:t>N</w:t>
      </w:r>
      <w:r w:rsidRPr="000C5095">
        <w:rPr>
          <w:rFonts w:ascii="Times New Roman" w:eastAsia="新細明體" w:hAnsi="Times New Roman" w:cs="Times New Roman"/>
          <w:color w:val="000000"/>
          <w:kern w:val="0"/>
          <w:szCs w:val="24"/>
          <w:lang w:bidi="ar-SA"/>
        </w:rPr>
        <w:t>為</w:t>
      </w:r>
      <w:r w:rsidRPr="000C5095">
        <w:rPr>
          <w:rFonts w:ascii="Arial" w:eastAsia="新細明體" w:hAnsi="Arial" w:cs="Arial"/>
          <w:color w:val="000000"/>
          <w:kern w:val="0"/>
          <w:szCs w:val="24"/>
          <w:lang w:bidi="ar-SA"/>
        </w:rPr>
        <w:t>reference level</w:t>
      </w:r>
      <w:r w:rsidRPr="000C5095">
        <w:rPr>
          <w:rFonts w:ascii="Times New Roman" w:eastAsia="新細明體" w:hAnsi="Times New Roman" w:cs="Times New Roman"/>
          <w:color w:val="000000"/>
          <w:kern w:val="0"/>
          <w:szCs w:val="24"/>
          <w:lang w:bidi="ar-SA"/>
        </w:rPr>
        <w:t>時，其與</w:t>
      </w:r>
      <w:r w:rsidRPr="000C5095">
        <w:rPr>
          <w:rFonts w:ascii="Arial" w:eastAsia="新細明體" w:hAnsi="Arial" w:cs="Arial"/>
          <w:color w:val="000000"/>
          <w:kern w:val="0"/>
          <w:szCs w:val="24"/>
          <w:lang w:bidi="ar-SA"/>
        </w:rPr>
        <w:t>NA</w:t>
      </w:r>
      <w:r w:rsidRPr="000C5095">
        <w:rPr>
          <w:rFonts w:ascii="Times New Roman" w:eastAsia="新細明體" w:hAnsi="Times New Roman" w:cs="Times New Roman"/>
          <w:color w:val="000000"/>
          <w:kern w:val="0"/>
          <w:szCs w:val="24"/>
          <w:lang w:bidi="ar-SA"/>
        </w:rPr>
        <w:t>或</w:t>
      </w:r>
      <w:r w:rsidRPr="000C5095">
        <w:rPr>
          <w:rFonts w:ascii="Arial" w:eastAsia="新細明體" w:hAnsi="Arial" w:cs="Arial"/>
          <w:color w:val="000000"/>
          <w:kern w:val="0"/>
          <w:szCs w:val="24"/>
          <w:lang w:bidi="ar-SA"/>
        </w:rPr>
        <w:t>Y</w:t>
      </w:r>
      <w:r w:rsidRPr="000C5095">
        <w:rPr>
          <w:rFonts w:ascii="Times New Roman" w:eastAsia="新細明體" w:hAnsi="Times New Roman" w:cs="Times New Roman"/>
          <w:color w:val="000000"/>
          <w:kern w:val="0"/>
          <w:szCs w:val="24"/>
          <w:lang w:bidi="ar-SA"/>
        </w:rPr>
        <w:t>之間的差距顯著，單就這個變數相比之下，資料為</w:t>
      </w:r>
      <w:r w:rsidRPr="000C5095">
        <w:rPr>
          <w:rFonts w:ascii="Arial" w:eastAsia="新細明體" w:hAnsi="Arial" w:cs="Arial"/>
          <w:color w:val="000000"/>
          <w:kern w:val="0"/>
          <w:szCs w:val="24"/>
          <w:lang w:bidi="ar-SA"/>
        </w:rPr>
        <w:t>NA</w:t>
      </w:r>
      <w:r w:rsidRPr="000C5095">
        <w:rPr>
          <w:rFonts w:ascii="Times New Roman" w:eastAsia="新細明體" w:hAnsi="Times New Roman" w:cs="Times New Roman"/>
          <w:color w:val="000000"/>
          <w:kern w:val="0"/>
          <w:szCs w:val="24"/>
          <w:lang w:bidi="ar-SA"/>
        </w:rPr>
        <w:t>或</w:t>
      </w:r>
      <w:r w:rsidRPr="000C5095">
        <w:rPr>
          <w:rFonts w:ascii="Arial" w:eastAsia="新細明體" w:hAnsi="Arial" w:cs="Arial"/>
          <w:color w:val="000000"/>
          <w:kern w:val="0"/>
          <w:szCs w:val="24"/>
          <w:lang w:bidi="ar-SA"/>
        </w:rPr>
        <w:t>N</w:t>
      </w:r>
      <w:r w:rsidRPr="000C5095">
        <w:rPr>
          <w:rFonts w:ascii="Times New Roman" w:eastAsia="新細明體" w:hAnsi="Times New Roman" w:cs="Times New Roman"/>
          <w:color w:val="000000"/>
          <w:kern w:val="0"/>
          <w:szCs w:val="24"/>
          <w:lang w:bidi="ar-SA"/>
        </w:rPr>
        <w:t>者或許是更具潛力之用戶。最後，</w:t>
      </w:r>
      <w:r w:rsidRPr="000C5095">
        <w:rPr>
          <w:rFonts w:ascii="Arial" w:eastAsia="新細明體" w:hAnsi="Arial" w:cs="Arial"/>
          <w:color w:val="000000"/>
          <w:kern w:val="0"/>
          <w:szCs w:val="24"/>
          <w:lang w:bidi="ar-SA"/>
        </w:rPr>
        <w:t>N3_PEAK_TIME_REFUND_NTILE_50_AMT_PER_MONTH_FLAG</w:t>
      </w:r>
      <w:r w:rsidRPr="000C5095">
        <w:rPr>
          <w:rFonts w:ascii="Times New Roman" w:eastAsia="新細明體" w:hAnsi="Times New Roman" w:cs="Times New Roman"/>
          <w:color w:val="000000"/>
          <w:kern w:val="0"/>
          <w:szCs w:val="24"/>
          <w:lang w:bidi="ar-SA"/>
        </w:rPr>
        <w:t>這個變數在此模型中則不甚顯著。</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Times New Roman" w:eastAsia="新細明體" w:hAnsi="Times New Roman" w:cs="Times New Roman"/>
          <w:color w:val="000000"/>
          <w:kern w:val="0"/>
          <w:szCs w:val="24"/>
          <w:lang w:bidi="ar-SA"/>
        </w:rPr>
        <w:t>此模型之</w:t>
      </w:r>
      <w:r w:rsidRPr="000C5095">
        <w:rPr>
          <w:rFonts w:ascii="Arial" w:eastAsia="新細明體" w:hAnsi="Arial" w:cs="Arial"/>
          <w:color w:val="000000"/>
          <w:kern w:val="0"/>
          <w:szCs w:val="24"/>
          <w:lang w:bidi="ar-SA"/>
        </w:rPr>
        <w:t>R</w:t>
      </w:r>
      <w:r w:rsidRPr="000C5095">
        <w:rPr>
          <w:rFonts w:ascii="Arial" w:eastAsia="新細明體" w:hAnsi="Arial" w:cs="Arial"/>
          <w:color w:val="000000"/>
          <w:kern w:val="0"/>
          <w:sz w:val="14"/>
          <w:szCs w:val="14"/>
          <w:vertAlign w:val="superscript"/>
          <w:lang w:bidi="ar-SA"/>
        </w:rPr>
        <w:t>2</w:t>
      </w:r>
      <w:r w:rsidRPr="000C5095">
        <w:rPr>
          <w:rFonts w:ascii="Times New Roman" w:eastAsia="新細明體" w:hAnsi="Times New Roman" w:cs="Times New Roman"/>
          <w:color w:val="000000"/>
          <w:kern w:val="0"/>
          <w:szCs w:val="24"/>
          <w:lang w:bidi="ar-SA"/>
        </w:rPr>
        <w:t>與</w:t>
      </w:r>
      <w:r w:rsidRPr="000C5095">
        <w:rPr>
          <w:rFonts w:ascii="Arial" w:eastAsia="新細明體" w:hAnsi="Arial" w:cs="Arial"/>
          <w:color w:val="000000"/>
          <w:kern w:val="0"/>
          <w:szCs w:val="24"/>
          <w:lang w:bidi="ar-SA"/>
        </w:rPr>
        <w:t xml:space="preserve"> Adjusted R</w:t>
      </w:r>
      <w:r w:rsidRPr="000C5095">
        <w:rPr>
          <w:rFonts w:ascii="Arial" w:eastAsia="新細明體" w:hAnsi="Arial" w:cs="Arial"/>
          <w:color w:val="000000"/>
          <w:kern w:val="0"/>
          <w:sz w:val="14"/>
          <w:szCs w:val="14"/>
          <w:vertAlign w:val="superscript"/>
          <w:lang w:bidi="ar-SA"/>
        </w:rPr>
        <w:t>2</w:t>
      </w:r>
      <w:r w:rsidRPr="000C5095">
        <w:rPr>
          <w:rFonts w:ascii="Times New Roman" w:eastAsia="新細明體" w:hAnsi="Times New Roman" w:cs="Times New Roman"/>
          <w:color w:val="000000"/>
          <w:kern w:val="0"/>
          <w:szCs w:val="24"/>
          <w:lang w:bidi="ar-SA"/>
        </w:rPr>
        <w:t>皆約</w:t>
      </w:r>
      <w:r w:rsidRPr="000C5095">
        <w:rPr>
          <w:rFonts w:ascii="Arial" w:eastAsia="新細明體" w:hAnsi="Arial" w:cs="Arial"/>
          <w:color w:val="000000"/>
          <w:kern w:val="0"/>
          <w:szCs w:val="24"/>
          <w:lang w:bidi="ar-SA"/>
        </w:rPr>
        <w:t>0.714</w:t>
      </w:r>
      <w:r w:rsidRPr="000C5095">
        <w:rPr>
          <w:rFonts w:ascii="Times New Roman" w:eastAsia="新細明體" w:hAnsi="Times New Roman" w:cs="Times New Roman"/>
          <w:color w:val="000000"/>
          <w:kern w:val="0"/>
          <w:szCs w:val="24"/>
          <w:lang w:bidi="ar-SA"/>
        </w:rPr>
        <w:t>左右，由於應變數</w:t>
      </w:r>
      <w:r w:rsidRPr="000C5095">
        <w:rPr>
          <w:rFonts w:ascii="Arial" w:eastAsia="新細明體" w:hAnsi="Arial" w:cs="Arial"/>
          <w:color w:val="000000"/>
          <w:kern w:val="0"/>
          <w:szCs w:val="24"/>
          <w:lang w:bidi="ar-SA"/>
        </w:rPr>
        <w:t>Y</w:t>
      </w:r>
      <w:r w:rsidRPr="000C5095">
        <w:rPr>
          <w:rFonts w:ascii="Times New Roman" w:eastAsia="新細明體" w:hAnsi="Times New Roman" w:cs="Times New Roman"/>
          <w:color w:val="000000"/>
          <w:kern w:val="0"/>
          <w:szCs w:val="24"/>
          <w:lang w:bidi="ar-SA"/>
        </w:rPr>
        <w:t>之分佈本身有負偏態之情形，導致</w:t>
      </w:r>
      <w:r w:rsidRPr="000C5095">
        <w:rPr>
          <w:rFonts w:ascii="Arial" w:eastAsia="新細明體" w:hAnsi="Arial" w:cs="Arial"/>
          <w:color w:val="000000"/>
          <w:kern w:val="0"/>
          <w:szCs w:val="24"/>
          <w:lang w:bidi="ar-SA"/>
        </w:rPr>
        <w:t>QQ-plot</w:t>
      </w:r>
      <w:r w:rsidRPr="000C5095">
        <w:rPr>
          <w:rFonts w:ascii="Times New Roman" w:eastAsia="新細明體" w:hAnsi="Times New Roman" w:cs="Times New Roman"/>
          <w:color w:val="000000"/>
          <w:kern w:val="0"/>
          <w:szCs w:val="24"/>
          <w:lang w:bidi="ar-SA"/>
        </w:rPr>
        <w:t>也有一定程度之偏差，視後續情況進行調整。</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0C5095" w:rsidRPr="000C5095" w:rsidRDefault="000C5095" w:rsidP="000C5095">
      <w:pPr>
        <w:widowControl/>
        <w:rPr>
          <w:rFonts w:ascii="新細明體" w:eastAsia="新細明體" w:hAnsi="新細明體" w:cs="新細明體"/>
          <w:kern w:val="0"/>
          <w:szCs w:val="24"/>
          <w:lang w:bidi="ar-SA"/>
        </w:rPr>
      </w:pPr>
      <w:r w:rsidRPr="000C5095">
        <w:rPr>
          <w:rFonts w:ascii="Arial" w:eastAsia="新細明體" w:hAnsi="Arial" w:cs="Arial"/>
          <w:color w:val="000000"/>
          <w:kern w:val="0"/>
          <w:szCs w:val="24"/>
          <w:lang w:bidi="ar-SA"/>
        </w:rPr>
        <w:t> </w:t>
      </w:r>
    </w:p>
    <w:p w:rsidR="00F62839" w:rsidRPr="000C5095" w:rsidRDefault="00F62839" w:rsidP="000C5095"/>
    <w:sectPr w:rsidR="00F62839" w:rsidRPr="000C50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4625"/>
    <w:multiLevelType w:val="hybridMultilevel"/>
    <w:tmpl w:val="1BD63BDE"/>
    <w:lvl w:ilvl="0" w:tplc="4D6A5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796F08"/>
    <w:multiLevelType w:val="hybridMultilevel"/>
    <w:tmpl w:val="0D2EDA80"/>
    <w:lvl w:ilvl="0" w:tplc="18468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39"/>
    <w:rsid w:val="000C5095"/>
    <w:rsid w:val="00156A9F"/>
    <w:rsid w:val="009B49C3"/>
    <w:rsid w:val="00EE4375"/>
    <w:rsid w:val="00F6283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CA6E"/>
  <w15:chartTrackingRefBased/>
  <w15:docId w15:val="{6DAC2B64-F1A0-4E2F-86E3-53EF49D3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839"/>
    <w:pPr>
      <w:ind w:leftChars="200" w:left="480"/>
    </w:pPr>
  </w:style>
  <w:style w:type="paragraph" w:styleId="Web">
    <w:name w:val="Normal (Web)"/>
    <w:basedOn w:val="a"/>
    <w:uiPriority w:val="99"/>
    <w:semiHidden/>
    <w:unhideWhenUsed/>
    <w:rsid w:val="000C5095"/>
    <w:pPr>
      <w:widowControl/>
      <w:spacing w:before="100" w:beforeAutospacing="1" w:after="100" w:afterAutospacing="1"/>
    </w:pPr>
    <w:rPr>
      <w:rFonts w:ascii="新細明體" w:eastAsia="新細明體" w:hAnsi="新細明體" w:cs="新細明體"/>
      <w:kern w:val="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6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盛皓 彭</dc:creator>
  <cp:keywords/>
  <dc:description/>
  <cp:lastModifiedBy>盛皓 彭</cp:lastModifiedBy>
  <cp:revision>3</cp:revision>
  <dcterms:created xsi:type="dcterms:W3CDTF">2020-12-17T13:35:00Z</dcterms:created>
  <dcterms:modified xsi:type="dcterms:W3CDTF">2020-12-20T09:15:00Z</dcterms:modified>
</cp:coreProperties>
</file>