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答题区组件排版验证</w:t>
      </w:r>
    </w:p>
    <w:p>
      <w:r>
        <w:t>验证连续空白、横线、作文格、绘图区、选项及双栏和跨页排版。</w:t>
      </w:r>
    </w:p>
    <w:p>
      <w:pPr>
        <w:keepNext/>
      </w:pPr>
      <w:r>
        <w:t>1．数学推导 留连续空白60毫米</w:t>
      </w:r>
    </w:p>
    <w:tbl>
      <w:tblPr>
        <w:tblStyle w:val="ExamPaperWordPlainComponent"/>
        <w:tblW w:type="dxa" w:w="963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  <w:trHeight w:val="567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67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67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67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67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67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pPr>
        <w:keepNext/>
      </w:pPr>
      <w:r>
        <w:t>2．文字回答 4条等长横线</w:t>
      </w:r>
    </w:p>
    <w:tbl>
      <w:tblPr>
        <w:tblStyle w:val="ExamPaperWordPlainComponent"/>
        <w:tblW w:type="dxa" w:w="963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pPr>
        <w:keepNext/>
      </w:pPr>
      <w:r>
        <w:t>3．四个选项分两行排列</w:t>
      </w:r>
    </w:p>
    <w:tbl>
      <w:tblPr>
        <w:tblStyle w:val="ExamPaperWordPlainComponent"/>
        <w:tblW w:type="dxa" w:w="963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A．简短选项甲</w:t>
            </w:r>
          </w:p>
        </w:tc>
        <w:tc>
          <w:tcPr>
            <w:tcW w:type="dxa" w:w="4819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B．简短选项乙</w:t>
            </w:r>
          </w:p>
        </w:tc>
      </w:tr>
      <w:tr>
        <w:trPr>
          <w:cantSplit/>
        </w:trPr>
        <w:tc>
          <w:tcPr>
            <w:tcW w:type="dxa" w:w="4819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C．简短选项丙</w:t>
            </w:r>
          </w:p>
        </w:tc>
        <w:tc>
          <w:tcPr>
            <w:tcW w:type="dxa" w:w="4819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D．简短选项丁</w:t>
            </w:r>
          </w:p>
        </w:tc>
      </w:tr>
    </w:tbl>
    <w:p>
      <w:r>
        <w:br w:type="page"/>
      </w:r>
    </w:p>
    <w:p>
      <w:pPr>
        <w:pStyle w:val="Title"/>
      </w:pPr>
      <w:r>
        <w:t>作文格和绘图区验证</w:t>
      </w:r>
    </w:p>
    <w:p>
      <w:pPr>
        <w:keepNext/>
      </w:pPr>
      <w:r>
        <w:t>4．中文写作 105格，每格8毫米</w:t>
      </w:r>
    </w:p>
    <w:tbl>
      <w:tblPr>
        <w:tblStyle w:val="ExamPaperWordPlainComponent"/>
        <w:tblW w:type="dxa" w:w="9524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cantSplit/>
          <w:trHeight w:val="454" w:hRule="atLeast"/>
        </w:trPr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454" w:hRule="atLeast"/>
        </w:trPr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454" w:hRule="atLeast"/>
        </w:trPr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454" w:hRule="atLeast"/>
        </w:trPr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454" w:hRule="atLeast"/>
        </w:trPr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  <w:tc>
          <w:tcPr>
            <w:tcW w:type="dxa" w:w="454"/>
            <w:tcMar>
              <w:top w:w="0" w:type="dxa"/>
              <w:left w:w="0" w:type="dxa"/>
              <w:bottom w:w="0" w:type="dxa"/>
              <w:right w:w="0" w:type="dxa"/>
            </w:tcMar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pPr>
        <w:keepNext/>
      </w:pPr>
      <w:r>
        <w:t>5．几何作图 留连续空白50毫米</w:t>
      </w:r>
    </w:p>
    <w:tbl>
      <w:tblPr>
        <w:tblStyle w:val="ExamPaperWordPlainComponent"/>
        <w:tblW w:type="dxa" w:w="963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  <w:trHeight w:val="2835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r>
        <w:t>绘图区结束标记</w:t>
      </w:r>
    </w:p>
    <w:p>
      <w:r>
        <w:br w:type="page"/>
      </w:r>
    </w:p>
    <w:p>
      <w:pPr>
        <w:pStyle w:val="Title"/>
      </w:pPr>
      <w:r>
        <w:t>长作答区跨页验证</w:t>
      </w:r>
    </w:p>
    <w:p>
      <w:pPr>
        <w:keepNext/>
      </w:pPr>
      <w:r>
        <w:t>6．40行横线允许自然跨页</w:t>
      </w:r>
    </w:p>
    <w:tbl>
      <w:tblPr>
        <w:tblStyle w:val="ExamPaperWordPlainComponent"/>
        <w:tblW w:type="dxa" w:w="963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r>
        <w:t>长作答区结束标记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Title"/>
      </w:pPr>
      <w:r>
        <w:t>A3双栏验证</w:t>
      </w:r>
    </w:p>
    <w:p>
      <w:pPr>
        <w:keepNext/>
      </w:pPr>
      <w:r>
        <w:t>7．左栏横线按栏宽生成</w:t>
      </w:r>
    </w:p>
    <w:tbl>
      <w:tblPr>
        <w:tblStyle w:val="ExamPaperWordPlainComponent"/>
        <w:tblW w:type="dxa" w:w="1048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488"/>
      </w:tblGrid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pPr>
        <w:keepNext/>
      </w:pPr>
      <w:r>
        <w:t>8．较长选项使用每项一行</w:t>
      </w:r>
    </w:p>
    <w:tbl>
      <w:tblPr>
        <w:tblStyle w:val="ExamPaperWordPlainComponent"/>
        <w:tblW w:type="dxa" w:w="1048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488"/>
      </w:tblGrid>
      <w:tr>
        <w:trPr>
          <w:cantSplit/>
        </w:trPr>
        <w:tc>
          <w:tcPr>
            <w:tcW w:type="dxa" w:w="10488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A．较长的选项内容，允许自然换行，不把选项硬挤进很窄的单元格。</w:t>
            </w:r>
          </w:p>
        </w:tc>
      </w:tr>
      <w:tr>
        <w:trPr>
          <w:cantSplit/>
        </w:trPr>
        <w:tc>
          <w:tcPr>
            <w:tcW w:type="dxa" w:w="10488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B．较长的选项内容，允许自然换行，不把选项硬挤进很窄的单元格。</w:t>
            </w:r>
          </w:p>
        </w:tc>
      </w:tr>
      <w:tr>
        <w:trPr>
          <w:cantSplit/>
        </w:trPr>
        <w:tc>
          <w:tcPr>
            <w:tcW w:type="dxa" w:w="10488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C．较长的选项内容，允许自然换行，不把选项硬挤进很窄的单元格。</w:t>
            </w:r>
          </w:p>
        </w:tc>
      </w:tr>
      <w:tr>
        <w:trPr>
          <w:cantSplit/>
        </w:trPr>
        <w:tc>
          <w:tcPr>
            <w:tcW w:type="dxa" w:w="10488"/>
            <w:tcMar>
              <w:top w:w="57" w:type="dxa"/>
              <w:left w:w="57" w:type="dxa"/>
              <w:bottom w:w="57" w:type="dxa"/>
              <w:right w:w="57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300" w:lineRule="auto"/>
              <w:ind w:left="340" w:right="0" w:hanging="3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  <w:t>D．较长的选项内容，允许自然换行，不把选项硬挤进很窄的单元格。</w:t>
            </w:r>
          </w:p>
        </w:tc>
      </w:tr>
    </w:tbl>
    <w:p>
      <w:r>
        <w:br w:type="column"/>
      </w:r>
    </w:p>
    <w:p>
      <w:pPr>
        <w:keepNext/>
      </w:pPr>
      <w:r>
        <w:t>9．右栏数学推导保持无横线</w:t>
      </w:r>
    </w:p>
    <w:tbl>
      <w:tblPr>
        <w:tblStyle w:val="ExamPaperWordPlainComponent"/>
        <w:tblW w:type="dxa" w:w="1048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488"/>
      </w:tblGrid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p>
      <w:pPr>
        <w:keepNext/>
      </w:pPr>
      <w:r>
        <w:t>10．右栏文字回答使用横线</w:t>
      </w:r>
    </w:p>
    <w:tbl>
      <w:tblPr>
        <w:tblStyle w:val="ExamPaperWordPlainComponent"/>
        <w:tblW w:type="dxa" w:w="1048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488"/>
      </w:tblGrid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  <w:tr>
        <w:trPr>
          <w:cantSplit/>
          <w:trHeight w:val="510" w:hRule="atLeast"/>
        </w:trPr>
        <w:tc>
          <w:tcPr>
            <w:tcW w:type="dxa" w:w="1048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000000"/>
              <w:left w:val="nil" w:sz="4" w:color="000000"/>
              <w:bottom w:val="single" w:sz="4" w:color="000000"/>
              <w:right w:val="nil" w:sz="4" w:color="000000"/>
            </w:tcBorders>
            <w:shd w:val="clear" w:fill="auto"/>
          </w:tcPr>
          <w:p>
            <w:pPr>
              <w:keepNext w:val="0"/>
              <w:keepLines w:val="0"/>
              <w:widowControl w:val="0"/>
              <w:spacing w:before="0" w:after="0" w:line="240" w:lineRule="exact"/>
              <w:ind w:left="0" w:right="0" w:firstLine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imes New Roman" w:hAnsi="Times New Roman" w:eastAsia="宋体" w:cs="Times New Roman"/>
                <w:lang w:val="en-US" w:eastAsia="zh-CN"/>
                <w:sz w:val="24"/>
                <w:szCs w:val="24"/>
                <w:color w:val="000000"/>
              </w:rPr>
            </w:pPr>
          </w:p>
        </w:tc>
      </w:tr>
    </w:tbl>
    <w:sectPr w:rsidR="00FC693F" w:rsidRPr="0006063C" w:rsidSect="00034616">
      <w:pgSz w:w="23811" w:h="16838"/>
      <w:pgMar w:top="1134" w:right="1134" w:bottom="1134" w:left="1134" w:header="720" w:footer="720" w:gutter="0"/>
      <w:cols w:space="567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="Times New Roman" w:hAnsi="Times New Roman" w:eastAsia="宋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ExamPaperWordPlainComponent">
    <w:name w:val="ExamPaperWordPlainComponen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howardhyx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