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020" w:rsidRPr="00903020" w:rsidRDefault="00903020" w:rsidP="00903020">
      <w:pPr>
        <w:shd w:val="clear" w:color="auto" w:fill="F2F2F2"/>
        <w:spacing w:after="113" w:line="240" w:lineRule="atLeast"/>
        <w:textAlignment w:val="baseline"/>
        <w:outlineLvl w:val="3"/>
        <w:rPr>
          <w:rFonts w:ascii="Helvetica" w:eastAsia="Times New Roman" w:hAnsi="Helvetica" w:cs="Helvetica"/>
          <w:b/>
          <w:bCs/>
          <w:caps/>
          <w:color w:val="000000"/>
          <w:sz w:val="27"/>
          <w:szCs w:val="27"/>
        </w:rPr>
      </w:pPr>
      <w:r w:rsidRPr="00903020">
        <w:rPr>
          <w:rFonts w:ascii="Helvetica" w:eastAsia="Times New Roman" w:hAnsi="Helvetica" w:cs="Helvetica"/>
          <w:b/>
          <w:bCs/>
          <w:caps/>
          <w:color w:val="000000"/>
          <w:sz w:val="27"/>
          <w:szCs w:val="27"/>
        </w:rPr>
        <w:t>--------------VARIABLE DESCRIPTION---------------</w:t>
      </w:r>
    </w:p>
    <w:p w:rsidR="00903020" w:rsidRPr="00903020" w:rsidRDefault="00903020" w:rsidP="00903020">
      <w:pPr>
        <w:shd w:val="clear" w:color="auto" w:fill="F2F2F2"/>
        <w:spacing w:after="225" w:line="240" w:lineRule="auto"/>
        <w:textAlignment w:val="baseline"/>
        <w:rPr>
          <w:rFonts w:ascii="Arial" w:eastAsia="Times New Roman" w:hAnsi="Arial" w:cs="Arial"/>
          <w:color w:val="5D5E60"/>
          <w:sz w:val="18"/>
          <w:szCs w:val="18"/>
        </w:rPr>
      </w:pPr>
      <w:r w:rsidRPr="00903020">
        <w:rPr>
          <w:rFonts w:ascii="Arial" w:eastAsia="Times New Roman" w:hAnsi="Arial" w:cs="Arial"/>
          <w:color w:val="5D5E60"/>
          <w:sz w:val="18"/>
          <w:szCs w:val="18"/>
        </w:rPr>
        <w:t>GRCODE NAIC company code (including insurer groups and single insurers)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  <w:t>GRNAME NAIC company name (including insurer groups and single insurers)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AccidentYear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 Accident year(1988 to 1997)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DevelopmentYear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 Development year (1988 to 1997)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DevelopmentLag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 Development year (AY-1987 + DY-1987 - 1)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IncurLoss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>_ Incurred losses and allocated expenses reported at year end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CumPaidLoss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>_ Cumulative paid losses and allocated expenses at year end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BulkLoss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>_ Bulk and IBNR reserves on net losses and defense and cost containment expenses reported at year end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  <w:t>PostedReserve97_ Posted reserves in year 1997 taken from the Underwriting and Investment Exhibit – Part 2A, including net losses unpaid and unpaid loss adjustment expenses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EarnedPremDIR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_ Premiums earned at </w:t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incurral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 year - direct and assumed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EarnedPremCeded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_ Premiums earned at </w:t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incurral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 year - </w:t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ceded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>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EarnedPremNet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_ Premiums earned at </w:t>
      </w:r>
      <w:proofErr w:type="spellStart"/>
      <w:r w:rsidRPr="00903020">
        <w:rPr>
          <w:rFonts w:ascii="Arial" w:eastAsia="Times New Roman" w:hAnsi="Arial" w:cs="Arial"/>
          <w:color w:val="5D5E60"/>
          <w:sz w:val="18"/>
          <w:szCs w:val="18"/>
        </w:rPr>
        <w:t>incurral</w:t>
      </w:r>
      <w:proofErr w:type="spellEnd"/>
      <w:r w:rsidRPr="00903020">
        <w:rPr>
          <w:rFonts w:ascii="Arial" w:eastAsia="Times New Roman" w:hAnsi="Arial" w:cs="Arial"/>
          <w:color w:val="5D5E60"/>
          <w:sz w:val="18"/>
          <w:szCs w:val="18"/>
        </w:rPr>
        <w:t xml:space="preserve"> year - net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  <w:t>Single 1 indicates a single entity, 0 indicates a group insurer</w:t>
      </w:r>
    </w:p>
    <w:p w:rsidR="00903020" w:rsidRPr="00903020" w:rsidRDefault="00903020" w:rsidP="00903020">
      <w:pPr>
        <w:shd w:val="clear" w:color="auto" w:fill="F2F2F2"/>
        <w:spacing w:after="113" w:line="240" w:lineRule="atLeast"/>
        <w:textAlignment w:val="baseline"/>
        <w:outlineLvl w:val="3"/>
        <w:rPr>
          <w:rFonts w:ascii="Helvetica" w:eastAsia="Times New Roman" w:hAnsi="Helvetica" w:cs="Helvetica"/>
          <w:b/>
          <w:bCs/>
          <w:caps/>
          <w:color w:val="000000"/>
          <w:sz w:val="27"/>
          <w:szCs w:val="27"/>
        </w:rPr>
      </w:pPr>
      <w:r w:rsidRPr="00903020">
        <w:rPr>
          <w:rFonts w:ascii="Helvetica" w:eastAsia="Times New Roman" w:hAnsi="Helvetica" w:cs="Helvetica"/>
          <w:b/>
          <w:bCs/>
          <w:caps/>
          <w:color w:val="000000"/>
          <w:sz w:val="27"/>
          <w:szCs w:val="27"/>
        </w:rPr>
        <w:t>"_" REFERS TO LINES OF BUSINESS</w:t>
      </w:r>
    </w:p>
    <w:p w:rsidR="00903020" w:rsidRPr="00903020" w:rsidRDefault="00903020" w:rsidP="00903020">
      <w:pPr>
        <w:shd w:val="clear" w:color="auto" w:fill="F2F2F2"/>
        <w:spacing w:after="225" w:line="240" w:lineRule="auto"/>
        <w:textAlignment w:val="baseline"/>
        <w:rPr>
          <w:rFonts w:ascii="Arial" w:eastAsia="Times New Roman" w:hAnsi="Arial" w:cs="Arial"/>
          <w:color w:val="5D5E60"/>
          <w:sz w:val="18"/>
          <w:szCs w:val="18"/>
        </w:rPr>
      </w:pPr>
      <w:r w:rsidRPr="00903020">
        <w:rPr>
          <w:rFonts w:ascii="Arial" w:eastAsia="Times New Roman" w:hAnsi="Arial" w:cs="Arial"/>
          <w:color w:val="5D5E60"/>
          <w:sz w:val="18"/>
          <w:szCs w:val="18"/>
        </w:rPr>
        <w:t>B Private passenger auto liability/medical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  <w:t>C commercial auto/truck liability/medical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  <w:t>D Workers' compensation 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  <w:t>F2 Medical malpractice - Claims made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  <w:t>H1 Other liability - Occurrence</w:t>
      </w:r>
      <w:r w:rsidRPr="00903020">
        <w:rPr>
          <w:rFonts w:ascii="Arial" w:eastAsia="Times New Roman" w:hAnsi="Arial" w:cs="Arial"/>
          <w:color w:val="5D5E60"/>
          <w:sz w:val="18"/>
          <w:szCs w:val="18"/>
        </w:rPr>
        <w:br/>
        <w:t>R1 Products liability - Occurrence</w:t>
      </w:r>
    </w:p>
    <w:p w:rsidR="0000526F" w:rsidRDefault="00903020">
      <w:bookmarkStart w:id="0" w:name="_GoBack"/>
      <w:bookmarkEnd w:id="0"/>
    </w:p>
    <w:sectPr w:rsidR="0000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0"/>
    <w:rsid w:val="001215CF"/>
    <w:rsid w:val="003202E6"/>
    <w:rsid w:val="005E64EF"/>
    <w:rsid w:val="00903020"/>
    <w:rsid w:val="00BE1A55"/>
    <w:rsid w:val="00D304DE"/>
    <w:rsid w:val="00FC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782E-F8A9-40A4-AFA4-73171CCF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3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30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Zail</dc:creator>
  <cp:keywords/>
  <dc:description/>
  <cp:lastModifiedBy>Howard Zail</cp:lastModifiedBy>
  <cp:revision>1</cp:revision>
  <dcterms:created xsi:type="dcterms:W3CDTF">2018-05-31T13:56:00Z</dcterms:created>
  <dcterms:modified xsi:type="dcterms:W3CDTF">2018-05-31T13:56:00Z</dcterms:modified>
</cp:coreProperties>
</file>