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7B83B">
      <w:pPr>
        <w:pStyle w:val="2"/>
      </w:pPr>
      <w:bookmarkStart w:id="0" w:name="fda-药物召回通知平台-客户需求与开发范围说明书web-版"/>
      <w:r>
        <w:t xml:space="preserve">FDA </w:t>
      </w:r>
      <w:r>
        <w:rPr>
          <w:rFonts w:hint="eastAsia"/>
        </w:rPr>
        <w:t>药物召回通知平台</w:t>
      </w:r>
      <w:r>
        <w:t xml:space="preserve"> — </w:t>
      </w:r>
      <w:r>
        <w:rPr>
          <w:rFonts w:hint="eastAsia"/>
        </w:rPr>
        <w:t>客户需求与开发范围说明书（Web</w:t>
      </w:r>
      <w:r>
        <w:t xml:space="preserve"> </w:t>
      </w:r>
      <w:r>
        <w:rPr>
          <w:rFonts w:hint="eastAsia"/>
        </w:rPr>
        <w:t>版）</w:t>
      </w:r>
    </w:p>
    <w:p w14:paraId="01DFF398">
      <w:pPr>
        <w:pStyle w:val="23"/>
      </w:pPr>
      <w:r>
        <w:rPr>
          <w:rFonts w:hint="eastAsia"/>
          <w:b/>
          <w:bCs/>
        </w:rPr>
        <w:t>文档编号</w:t>
      </w:r>
      <w:r>
        <w:rPr>
          <w:rFonts w:hint="eastAsia"/>
        </w:rPr>
        <w:t>：FDA-NOTIF-SOW-001-WEB</w:t>
      </w:r>
      <w:r>
        <w:br w:type="textWrapping"/>
      </w:r>
      <w:r>
        <w:rPr>
          <w:rFonts w:hint="eastAsia"/>
          <w:b/>
          <w:bCs/>
        </w:rPr>
        <w:t>版本</w:t>
      </w:r>
      <w:r>
        <w:rPr>
          <w:rFonts w:hint="eastAsia"/>
        </w:rPr>
        <w:t>：3.0</w:t>
      </w:r>
      <w:r>
        <w:br w:type="textWrapping"/>
      </w:r>
      <w:r>
        <w:rPr>
          <w:rFonts w:hint="eastAsia"/>
          <w:b/>
          <w:bCs/>
        </w:rPr>
        <w:t>日期</w:t>
      </w:r>
      <w:r>
        <w:rPr>
          <w:rFonts w:hint="eastAsia"/>
        </w:rPr>
        <w:t>：2026-05-19</w:t>
      </w:r>
      <w:r>
        <w:br w:type="textWrapping"/>
      </w:r>
      <w:r>
        <w:rPr>
          <w:rFonts w:hint="eastAsia"/>
          <w:b/>
          <w:bCs/>
        </w:rPr>
        <w:t>用途</w:t>
      </w:r>
      <w:r>
        <w:rPr>
          <w:rFonts w:hint="eastAsia"/>
        </w:rPr>
        <w:t>：客户确认、合同附件、项目报价依据（</w:t>
      </w:r>
      <w:r>
        <w:rPr>
          <w:rFonts w:hint="eastAsia"/>
          <w:b/>
          <w:bCs/>
        </w:rPr>
        <w:t>仅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>端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>手动输入</w:t>
      </w:r>
      <w:r>
        <w:rPr>
          <w:rFonts w:hint="eastAsia"/>
        </w:rPr>
        <w:t>）</w:t>
      </w:r>
      <w:bookmarkStart w:id="17" w:name="_GoBack"/>
      <w:bookmarkEnd w:id="17"/>
    </w:p>
    <w:p w14:paraId="3E5BBEF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039542E">
      <w:pPr>
        <w:pStyle w:val="4"/>
      </w:pPr>
      <w:bookmarkStart w:id="1" w:name="一文档说明"/>
      <w:r>
        <w:rPr>
          <w:rFonts w:hint="eastAsia"/>
        </w:rPr>
        <w:t>一、文档说明</w:t>
      </w:r>
    </w:p>
    <w:p w14:paraId="210DCF97">
      <w:pPr>
        <w:pStyle w:val="23"/>
      </w:pPr>
      <w:r>
        <w:rPr>
          <w:rFonts w:hint="eastAsia"/>
        </w:rPr>
        <w:t>本文档描述</w:t>
      </w:r>
      <w:r>
        <w:t xml:space="preserve"> </w:t>
      </w:r>
      <w:r>
        <w:rPr>
          <w:b/>
          <w:bCs/>
        </w:rPr>
        <w:t>FDA Notification</w:t>
      </w:r>
      <w:r>
        <w:t xml:space="preserve"> Web </w:t>
      </w:r>
      <w:r>
        <w:rPr>
          <w:rFonts w:hint="eastAsia"/>
        </w:rPr>
        <w:t>端的交付范围、验收标准、工时与报价，供双方签字确认。</w:t>
      </w:r>
    </w:p>
    <w:p w14:paraId="497F9E70">
      <w:pPr>
        <w:pStyle w:val="3"/>
      </w:pPr>
      <w:r>
        <w:rPr>
          <w:rFonts w:hint="eastAsia"/>
          <w:b/>
          <w:bCs/>
        </w:rPr>
        <w:t>范围以双方确认的产品需求为准；自项目预付款到账且书面启动通知后生效，此前不进行正式开发交付。</w:t>
      </w:r>
    </w:p>
    <w:p w14:paraId="764AB97E">
      <w:pPr>
        <w:pStyle w:val="3"/>
      </w:pPr>
      <w:r>
        <w:rPr>
          <w:rFonts w:hint="eastAsia"/>
          <w:b/>
          <w:bCs/>
        </w:rPr>
        <w:t>客户已确认（v3.0）</w:t>
      </w:r>
      <w:r>
        <w:rPr>
          <w:rFonts w:hint="eastAsia"/>
        </w:rPr>
        <w:t>：仅采购</w:t>
      </w:r>
      <w:r>
        <w:t xml:space="preserve"> </w:t>
      </w:r>
      <w:r>
        <w:rPr>
          <w:b/>
          <w:bCs/>
        </w:rPr>
        <w:t xml:space="preserve">Web </w:t>
      </w:r>
      <w:r>
        <w:rPr>
          <w:rFonts w:hint="eastAsia"/>
          <w:b/>
          <w:bCs/>
        </w:rPr>
        <w:t>端</w:t>
      </w:r>
      <w:r>
        <w:rPr>
          <w:rFonts w:hint="eastAsia"/>
        </w:rPr>
        <w:t>；药品信息采用</w:t>
      </w:r>
      <w:r>
        <w:t xml:space="preserve"> </w:t>
      </w:r>
      <w:r>
        <w:rPr>
          <w:rFonts w:hint="eastAsia"/>
          <w:b/>
          <w:bCs/>
        </w:rPr>
        <w:t>用户手动输入</w:t>
      </w:r>
      <w:r>
        <w:rPr>
          <w:rFonts w:hint="eastAsia"/>
        </w:rPr>
        <w:t>（含搜索选药），</w:t>
      </w:r>
      <w:r>
        <w:rPr>
          <w:rFonts w:hint="eastAsia"/>
          <w:b/>
          <w:bCs/>
        </w:rPr>
        <w:t>不含</w:t>
      </w:r>
      <w:r>
        <w:rPr>
          <w:rFonts w:hint="eastAsia"/>
        </w:rPr>
        <w:t>条码扫描、拍照/OCR</w:t>
      </w:r>
      <w:r>
        <w:t xml:space="preserve"> </w:t>
      </w:r>
      <w:r>
        <w:rPr>
          <w:rFonts w:hint="eastAsia"/>
        </w:rPr>
        <w:t>识别及原生移动应用。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7827"/>
      </w:tblGrid>
      <w:tr w14:paraId="32365C5B">
        <w:trPr>
          <w:tblHeader/>
        </w:trPr>
        <w:tc>
          <w:p w14:paraId="7383AE31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07A93F7D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3F37F8B2">
        <w:tc>
          <w:p w14:paraId="3D435F01">
            <w:pPr>
              <w:pStyle w:val="24"/>
            </w:pPr>
            <w:r>
              <w:rPr>
                <w:rFonts w:hint="eastAsia"/>
              </w:rPr>
              <w:t>产品名称</w:t>
            </w:r>
          </w:p>
        </w:tc>
        <w:tc>
          <w:p w14:paraId="255D2C5C">
            <w:pPr>
              <w:pStyle w:val="24"/>
            </w:pPr>
            <w:r>
              <w:t xml:space="preserve">FDA </w:t>
            </w:r>
            <w:r>
              <w:rPr>
                <w:rFonts w:hint="eastAsia"/>
              </w:rPr>
              <w:t>药物召回通知平台（FDA</w:t>
            </w:r>
            <w:r>
              <w:t xml:space="preserve"> </w:t>
            </w:r>
            <w:r>
              <w:rPr>
                <w:rFonts w:hint="eastAsia"/>
              </w:rPr>
              <w:t>Notification）</w:t>
            </w:r>
          </w:p>
        </w:tc>
      </w:tr>
      <w:tr w14:paraId="0F3CB584">
        <w:tc>
          <w:p w14:paraId="58295C86">
            <w:pPr>
              <w:pStyle w:val="24"/>
            </w:pPr>
            <w:r>
              <w:rPr>
                <w:rFonts w:hint="eastAsia"/>
              </w:rPr>
              <w:t>目标用户</w:t>
            </w:r>
          </w:p>
        </w:tc>
        <w:tc>
          <w:p w14:paraId="43756C63">
            <w:pPr>
              <w:pStyle w:val="24"/>
            </w:pPr>
            <w:r>
              <w:rPr>
                <w:rFonts w:hint="eastAsia"/>
              </w:rPr>
              <w:t>美国市场个人及家庭用户</w:t>
            </w:r>
          </w:p>
        </w:tc>
      </w:tr>
      <w:tr w14:paraId="7230260A">
        <w:tc>
          <w:p w14:paraId="2664031B">
            <w:pPr>
              <w:pStyle w:val="24"/>
            </w:pPr>
            <w:r>
              <w:rPr>
                <w:rFonts w:hint="eastAsia"/>
              </w:rPr>
              <w:t>首发品类</w:t>
            </w:r>
          </w:p>
        </w:tc>
        <w:tc>
          <w:p w14:paraId="408F6C32">
            <w:pPr>
              <w:pStyle w:val="24"/>
            </w:pPr>
            <w:r>
              <w:rPr>
                <w:rFonts w:hint="eastAsia"/>
              </w:rPr>
              <w:t>处方药及</w:t>
            </w:r>
            <w:r>
              <w:t xml:space="preserve"> OTC </w:t>
            </w:r>
            <w:r>
              <w:rPr>
                <w:rFonts w:hint="eastAsia"/>
                <w:b/>
                <w:bCs/>
              </w:rPr>
              <w:t>药物</w:t>
            </w:r>
            <w:r>
              <w:rPr>
                <w:rFonts w:hint="eastAsia"/>
              </w:rPr>
              <w:t>（FDA</w:t>
            </w:r>
            <w:r>
              <w:t xml:space="preserve"> </w:t>
            </w:r>
            <w:r>
              <w:rPr>
                <w:rFonts w:hint="eastAsia"/>
              </w:rPr>
              <w:t>Drugs）</w:t>
            </w:r>
          </w:p>
        </w:tc>
      </w:tr>
      <w:tr w14:paraId="2BC7E9A2">
        <w:tc>
          <w:p w14:paraId="564316BF">
            <w:pPr>
              <w:pStyle w:val="24"/>
            </w:pPr>
            <w:r>
              <w:rPr>
                <w:rFonts w:hint="eastAsia"/>
              </w:rPr>
              <w:t>界面语言</w:t>
            </w:r>
          </w:p>
        </w:tc>
        <w:tc>
          <w:p w14:paraId="751010E0">
            <w:pPr>
              <w:pStyle w:val="24"/>
            </w:pPr>
            <w:r>
              <w:rPr>
                <w:rFonts w:hint="eastAsia"/>
              </w:rPr>
              <w:t>英语（en-US）</w:t>
            </w:r>
          </w:p>
        </w:tc>
      </w:tr>
      <w:tr w14:paraId="68F8F539">
        <w:tc>
          <w:p w14:paraId="5F5AAA9E">
            <w:pPr>
              <w:pStyle w:val="24"/>
            </w:pPr>
            <w:r>
              <w:rPr>
                <w:rFonts w:hint="eastAsia"/>
              </w:rPr>
              <w:t>交付形态</w:t>
            </w:r>
          </w:p>
        </w:tc>
        <w:tc>
          <w:p w14:paraId="59B1AD29">
            <w:pPr>
              <w:pStyle w:val="24"/>
            </w:pPr>
            <w:r>
              <w:rPr>
                <w:b/>
                <w:bCs/>
              </w:rPr>
              <w:t xml:space="preserve">Web </w:t>
            </w:r>
            <w:r>
              <w:rPr>
                <w:rFonts w:hint="eastAsia"/>
                <w:b/>
                <w:bCs/>
              </w:rPr>
              <w:t>应用</w:t>
            </w:r>
            <w:r>
              <w:rPr>
                <w:rFonts w:hint="eastAsia"/>
              </w:rPr>
              <w:t>（阶段一</w:t>
            </w:r>
            <w:r>
              <w:t xml:space="preserve"> MVP → </w:t>
            </w:r>
            <w:r>
              <w:rPr>
                <w:rFonts w:hint="eastAsia"/>
              </w:rPr>
              <w:t>阶段二完整版）；支持手机浏览器访问</w:t>
            </w:r>
          </w:p>
        </w:tc>
      </w:tr>
      <w:tr w14:paraId="00777359">
        <w:tc>
          <w:p w14:paraId="4B7A99A5">
            <w:pPr>
              <w:pStyle w:val="24"/>
            </w:pPr>
            <w:r>
              <w:rPr>
                <w:rFonts w:hint="eastAsia"/>
              </w:rPr>
              <w:t>本合同范围</w:t>
            </w:r>
          </w:p>
        </w:tc>
        <w:tc>
          <w:p w14:paraId="4F2DECA3">
            <w:pPr>
              <w:pStyle w:val="24"/>
            </w:pPr>
            <w:r>
              <w:rPr>
                <w:rFonts w:hint="eastAsia"/>
                <w:b/>
                <w:bCs/>
              </w:rPr>
              <w:t>仅</w:t>
            </w:r>
            <w:r>
              <w:rPr>
                <w:b/>
                <w:bCs/>
              </w:rPr>
              <w:t xml:space="preserve"> Web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/>
                <w:bCs/>
              </w:rPr>
              <w:t>仅手动输入</w:t>
            </w:r>
            <w:r>
              <w:rPr>
                <w:rFonts w:hint="eastAsia"/>
              </w:rPr>
              <w:t>药品信息；不含</w:t>
            </w:r>
            <w:r>
              <w:t xml:space="preserve"> </w:t>
            </w:r>
            <w:r>
              <w:rPr>
                <w:rFonts w:hint="eastAsia"/>
              </w:rPr>
              <w:t>App、扫码、拍照识别</w:t>
            </w:r>
          </w:p>
        </w:tc>
      </w:tr>
    </w:tbl>
    <w:p w14:paraId="4F0FD0BF">
      <w:pPr>
        <w:pStyle w:val="3"/>
      </w:pPr>
      <w:r>
        <w:rPr>
          <w:rFonts w:hint="eastAsia"/>
          <w:b/>
          <w:bCs/>
        </w:rPr>
        <w:t>报价约定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3431"/>
      </w:tblGrid>
      <w:tr w14:paraId="5924E5DE">
        <w:trPr>
          <w:tblHeader/>
        </w:trPr>
        <w:tc>
          <w:p w14:paraId="6A5BB59C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20588480">
            <w:pPr>
              <w:pStyle w:val="24"/>
            </w:pPr>
            <w:r>
              <w:rPr>
                <w:rFonts w:hint="eastAsia"/>
              </w:rPr>
              <w:t>金额</w:t>
            </w:r>
            <w:r>
              <w:t xml:space="preserve"> / </w:t>
            </w:r>
            <w:r>
              <w:rPr>
                <w:rFonts w:hint="eastAsia"/>
              </w:rPr>
              <w:t>工时</w:t>
            </w:r>
          </w:p>
        </w:tc>
      </w:tr>
      <w:tr w14:paraId="3F4FBCFE">
        <w:tc>
          <w:p w14:paraId="58CB700D">
            <w:pPr>
              <w:pStyle w:val="24"/>
            </w:pPr>
            <w:r>
              <w:rPr>
                <w:rFonts w:hint="eastAsia"/>
              </w:rPr>
              <w:t>单位人时单价</w:t>
            </w:r>
          </w:p>
        </w:tc>
        <w:tc>
          <w:p w14:paraId="609BCF75">
            <w:pPr>
              <w:pStyle w:val="24"/>
            </w:pPr>
            <w:r>
              <w:rPr>
                <w:b/>
                <w:bCs/>
              </w:rPr>
              <w:t xml:space="preserve">USD 100 / </w:t>
            </w:r>
            <w:r>
              <w:rPr>
                <w:rFonts w:hint="eastAsia"/>
                <w:b/>
                <w:bCs/>
              </w:rPr>
              <w:t>人时</w:t>
            </w:r>
          </w:p>
        </w:tc>
      </w:tr>
      <w:tr w14:paraId="54528E2F">
        <w:tc>
          <w:p w14:paraId="42290152">
            <w:pPr>
              <w:pStyle w:val="24"/>
            </w:pPr>
            <w:r>
              <w:rPr>
                <w:rFonts w:hint="eastAsia"/>
              </w:rPr>
              <w:t>本合同总工时</w:t>
            </w:r>
          </w:p>
        </w:tc>
        <w:tc>
          <w:p w14:paraId="795AA1E0">
            <w:pPr>
              <w:pStyle w:val="24"/>
            </w:pPr>
            <w:r>
              <w:rPr>
                <w:b/>
                <w:bCs/>
              </w:rPr>
              <w:t xml:space="preserve">100 </w:t>
            </w:r>
            <w:r>
              <w:rPr>
                <w:rFonts w:hint="eastAsia"/>
                <w:b/>
                <w:bCs/>
              </w:rPr>
              <w:t>人时</w:t>
            </w:r>
          </w:p>
        </w:tc>
      </w:tr>
      <w:tr w14:paraId="314115FE">
        <w:tc>
          <w:p w14:paraId="17334EF5">
            <w:pPr>
              <w:pStyle w:val="24"/>
            </w:pPr>
            <w:r>
              <w:rPr>
                <w:rFonts w:hint="eastAsia"/>
              </w:rPr>
              <w:t>本合同固定总价</w:t>
            </w:r>
          </w:p>
        </w:tc>
        <w:tc>
          <w:p w14:paraId="384178A9">
            <w:pPr>
              <w:pStyle w:val="24"/>
            </w:pPr>
            <w:r>
              <w:rPr>
                <w:b/>
                <w:bCs/>
              </w:rPr>
              <w:t>USD 10,000</w:t>
            </w:r>
            <w:r>
              <w:rPr>
                <w:rFonts w:hint="eastAsia"/>
              </w:rPr>
              <w:t>（=</w:t>
            </w:r>
            <w:r>
              <w:t xml:space="preserve"> 100 × </w:t>
            </w:r>
            <w:r>
              <w:rPr>
                <w:rFonts w:hint="eastAsia"/>
              </w:rPr>
              <w:t>$100）</w:t>
            </w:r>
          </w:p>
        </w:tc>
      </w:tr>
    </w:tbl>
    <w:p w14:paraId="77E03471">
      <w:pPr>
        <w:pStyle w:val="3"/>
      </w:pPr>
      <w:r>
        <w:rPr>
          <w:rFonts w:hint="eastAsia"/>
          <w:b/>
          <w:bCs/>
        </w:rPr>
        <w:t>不包含在开发费用内、由客户自行承担的费用</w:t>
      </w:r>
      <w:r>
        <w:rPr>
          <w:rFonts w:hint="eastAsia"/>
        </w:rPr>
        <w:t>：</w:t>
      </w:r>
    </w:p>
    <w:p w14:paraId="0832B1A1">
      <w:pPr>
        <w:pStyle w:val="24"/>
        <w:numPr>
          <w:ilvl w:val="0"/>
          <w:numId w:val="1"/>
        </w:numPr>
      </w:pPr>
      <w:r>
        <w:rPr>
          <w:rFonts w:hint="eastAsia"/>
        </w:rPr>
        <w:t>云服务器</w:t>
      </w:r>
      <w:r>
        <w:t xml:space="preserve"> / </w:t>
      </w:r>
      <w:r>
        <w:rPr>
          <w:rFonts w:hint="eastAsia"/>
        </w:rPr>
        <w:t>数据库月费</w:t>
      </w:r>
      <w:r>
        <w:br w:type="textWrapping"/>
      </w:r>
    </w:p>
    <w:p w14:paraId="30CF3EF6">
      <w:pPr>
        <w:pStyle w:val="24"/>
        <w:numPr>
          <w:ilvl w:val="0"/>
          <w:numId w:val="1"/>
        </w:numPr>
      </w:pPr>
      <w:r>
        <w:rPr>
          <w:rFonts w:hint="eastAsia"/>
        </w:rPr>
        <w:t>邮件、短信第三方服务注册费、审批费、用量费</w:t>
      </w:r>
      <w:r>
        <w:br w:type="textWrapping"/>
      </w:r>
    </w:p>
    <w:p w14:paraId="3BFB5624">
      <w:pPr>
        <w:pStyle w:val="24"/>
        <w:numPr>
          <w:ilvl w:val="0"/>
          <w:numId w:val="1"/>
        </w:numPr>
      </w:pPr>
      <w:r>
        <w:rPr>
          <w:rFonts w:hint="eastAsia"/>
        </w:rPr>
        <w:t>域名、SSL</w:t>
      </w:r>
      <w:r>
        <w:t xml:space="preserve"> </w:t>
      </w:r>
      <w:r>
        <w:rPr>
          <w:rFonts w:hint="eastAsia"/>
        </w:rPr>
        <w:t>证书（若单独采购）</w:t>
      </w:r>
      <w:r>
        <w:br w:type="textWrapping"/>
      </w:r>
    </w:p>
    <w:p w14:paraId="4DB30E1B">
      <w:pPr>
        <w:pStyle w:val="24"/>
        <w:numPr>
          <w:ilvl w:val="0"/>
          <w:numId w:val="1"/>
        </w:numPr>
      </w:pPr>
      <w:r>
        <w:rPr>
          <w:rFonts w:hint="eastAsia"/>
        </w:rPr>
        <w:t>隐私政策</w:t>
      </w:r>
      <w:r>
        <w:t xml:space="preserve"> / </w:t>
      </w:r>
      <w:r>
        <w:rPr>
          <w:rFonts w:hint="eastAsia"/>
        </w:rPr>
        <w:t>用户协议</w:t>
      </w:r>
      <w:r>
        <w:t xml:space="preserve"> / Cookie </w:t>
      </w:r>
      <w:r>
        <w:rPr>
          <w:rFonts w:hint="eastAsia"/>
        </w:rPr>
        <w:t>政策律师起草费（我方可提供占位页）</w:t>
      </w:r>
    </w:p>
    <w:p w14:paraId="08279C3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D350C67">
      <w:pPr>
        <w:pStyle w:val="4"/>
      </w:pPr>
      <w:bookmarkStart w:id="2" w:name="二项目目标客户可感知价值"/>
      <w:r>
        <w:rPr>
          <w:rFonts w:hint="eastAsia"/>
        </w:rPr>
        <w:t>二、项目目标（客户可感知价值）</w:t>
      </w:r>
    </w:p>
    <w:p w14:paraId="0F4AC224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主动守护</w:t>
      </w:r>
      <w:r>
        <w:rPr>
          <w:rFonts w:hint="eastAsia"/>
        </w:rPr>
        <w:t>：用户通过</w:t>
      </w:r>
      <w:r>
        <w:rPr>
          <w:rFonts w:hint="eastAsia"/>
          <w:b/>
          <w:bCs/>
        </w:rPr>
        <w:t>手动填写</w:t>
      </w:r>
      <w:r>
        <w:rPr>
          <w:rFonts w:hint="eastAsia"/>
        </w:rPr>
        <w:t>将药品登记至「药箱」；FDA</w:t>
      </w:r>
      <w:r>
        <w:t xml:space="preserve"> </w:t>
      </w:r>
      <w:r>
        <w:rPr>
          <w:rFonts w:hint="eastAsia"/>
        </w:rPr>
        <w:t>召回发布时，通过邮件、站内消息及短信（完整版）提醒。</w:t>
      </w:r>
    </w:p>
    <w:p w14:paraId="512E07BE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随时核查</w:t>
      </w:r>
      <w:r>
        <w:rPr>
          <w:rFonts w:hint="eastAsia"/>
        </w:rPr>
        <w:t>：用户</w:t>
      </w:r>
      <w:r>
        <w:rPr>
          <w:rFonts w:hint="eastAsia"/>
          <w:b/>
          <w:bCs/>
        </w:rPr>
        <w:t>手动输入</w:t>
      </w:r>
      <w:r>
        <w:rPr>
          <w:rFonts w:hint="eastAsia"/>
        </w:rPr>
        <w:t>药品名、生产厂家、NDC、批号等字段，查询是否涉及召回（</w:t>
      </w:r>
      <w:r>
        <w:rPr>
          <w:rFonts w:hint="eastAsia"/>
          <w:b/>
          <w:bCs/>
        </w:rPr>
        <w:t>不使用</w:t>
      </w:r>
      <w:r>
        <w:rPr>
          <w:rFonts w:hint="eastAsia"/>
        </w:rPr>
        <w:t>扫码或拍照识别）。</w:t>
      </w:r>
    </w:p>
    <w:p w14:paraId="73B1A65D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风险分级</w:t>
      </w:r>
      <w:r>
        <w:rPr>
          <w:rFonts w:hint="eastAsia"/>
        </w:rPr>
        <w:t>：按</w:t>
      </w:r>
      <w:r>
        <w:t xml:space="preserve"> FDA Class I / II / III </w:t>
      </w:r>
      <w:r>
        <w:rPr>
          <w:rFonts w:hint="eastAsia"/>
        </w:rPr>
        <w:t>展示，附官方信息链接。</w:t>
      </w:r>
    </w:p>
    <w:p w14:paraId="4E7ED0B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合规透明</w:t>
      </w:r>
      <w:r>
        <w:rPr>
          <w:rFonts w:hint="eastAsia"/>
        </w:rPr>
        <w:t>：仅信息聚合与提醒，</w:t>
      </w:r>
      <w:r>
        <w:rPr>
          <w:rFonts w:hint="eastAsia"/>
          <w:b/>
          <w:bCs/>
        </w:rPr>
        <w:t>不提供</w:t>
      </w:r>
      <w:r>
        <w:rPr>
          <w:rFonts w:hint="eastAsia"/>
        </w:rPr>
        <w:t>用药或停药建议。</w:t>
      </w:r>
    </w:p>
    <w:p w14:paraId="013118C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交付节奏</w:t>
      </w:r>
      <w:r>
        <w:rPr>
          <w:rFonts w:hint="eastAsia"/>
        </w:rPr>
        <w:t>：先</w:t>
      </w:r>
      <w:r>
        <w:t xml:space="preserve"> </w:t>
      </w:r>
      <w:r>
        <w:rPr>
          <w:b/>
          <w:bCs/>
        </w:rPr>
        <w:t>MVP</w:t>
      </w:r>
      <w:r>
        <w:rPr>
          <w:rFonts w:hint="eastAsia"/>
        </w:rPr>
        <w:t>，再</w:t>
      </w:r>
      <w:r>
        <w:t xml:space="preserve"> </w:t>
      </w:r>
      <w:r>
        <w:rPr>
          <w:rFonts w:hint="eastAsia"/>
          <w:b/>
          <w:bCs/>
        </w:rPr>
        <w:t>完整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>版</w:t>
      </w:r>
      <w:r>
        <w:t xml:space="preserve"> </w:t>
      </w:r>
      <w:r>
        <w:rPr>
          <w:rFonts w:hint="eastAsia"/>
        </w:rPr>
        <w:t>上线运营。</w:t>
      </w:r>
    </w:p>
    <w:p w14:paraId="0D5FAE4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DCC21AE">
      <w:pPr>
        <w:pStyle w:val="4"/>
      </w:pPr>
      <w:bookmarkStart w:id="3" w:name="三阶段一-mvp中期交付"/>
      <w:r>
        <w:rPr>
          <w:rFonts w:hint="eastAsia"/>
        </w:rPr>
        <w:t>三、阶段一</w:t>
      </w:r>
      <w:r>
        <w:t xml:space="preserve"> — </w:t>
      </w:r>
      <w:r>
        <w:rPr>
          <w:rFonts w:hint="eastAsia"/>
        </w:rPr>
        <w:t>MVP（中期交付）</w:t>
      </w:r>
    </w:p>
    <w:p w14:paraId="34161905">
      <w:pPr>
        <w:pStyle w:val="23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：FDA</w:t>
      </w:r>
      <w:r>
        <w:t xml:space="preserve"> </w:t>
      </w:r>
      <w:r>
        <w:rPr>
          <w:rFonts w:hint="eastAsia"/>
        </w:rPr>
        <w:t>召回数据、账户、药箱（手动录入）、自动匹配、邮件/站内通知、手动即时查询。</w:t>
      </w:r>
    </w:p>
    <w:p w14:paraId="38D8A084">
      <w:pPr>
        <w:pStyle w:val="3"/>
      </w:pPr>
      <w:r>
        <w:rPr>
          <w:rFonts w:hint="eastAsia"/>
          <w:b/>
          <w:bCs/>
        </w:rPr>
        <w:t>本阶段不包含</w:t>
      </w:r>
      <w:r>
        <w:rPr>
          <w:rFonts w:hint="eastAsia"/>
        </w:rPr>
        <w:t>：条码扫描、拍照/OCR、短信、家庭药箱、移动</w:t>
      </w:r>
      <w:r>
        <w:t xml:space="preserve"> </w:t>
      </w:r>
      <w:r>
        <w:rPr>
          <w:rFonts w:hint="eastAsia"/>
        </w:rPr>
        <w:t>App、仿制药</w:t>
      </w:r>
      <w:r>
        <w:t xml:space="preserve"> NDC </w:t>
      </w:r>
      <w:r>
        <w:rPr>
          <w:rFonts w:hint="eastAsia"/>
        </w:rPr>
        <w:t>扩展。</w:t>
      </w:r>
    </w:p>
    <w:p w14:paraId="66E2C37E">
      <w:pPr>
        <w:pStyle w:val="3"/>
      </w:pPr>
      <w:r>
        <w:rPr>
          <w:rFonts w:hint="eastAsia"/>
          <w:b/>
          <w:bCs/>
        </w:rPr>
        <w:t>本阶段工时</w:t>
      </w:r>
      <w:r>
        <w:rPr>
          <w:rFonts w:hint="eastAsia"/>
        </w:rPr>
        <w:t>：</w:t>
      </w:r>
      <w:r>
        <w:rPr>
          <w:b/>
          <w:bCs/>
        </w:rPr>
        <w:t xml:space="preserve">65 </w:t>
      </w:r>
      <w:r>
        <w:rPr>
          <w:rFonts w:hint="eastAsia"/>
          <w:b/>
          <w:bCs/>
        </w:rPr>
        <w:t>人时</w:t>
      </w:r>
      <w:r>
        <w:rPr>
          <w:rFonts w:hint="eastAsia"/>
        </w:rPr>
        <w:t>（折合</w:t>
      </w:r>
      <w:r>
        <w:t xml:space="preserve"> </w:t>
      </w:r>
      <w:r>
        <w:rPr>
          <w:b/>
          <w:bCs/>
        </w:rPr>
        <w:t>USD 6,500</w:t>
      </w:r>
      <w:r>
        <w:rPr>
          <w:rFonts w:hint="eastAsia"/>
        </w:rPr>
        <w:t>）</w:t>
      </w:r>
    </w:p>
    <w:p w14:paraId="0B72026A">
      <w:pPr>
        <w:pStyle w:val="5"/>
      </w:pPr>
      <w:bookmarkStart w:id="4" w:name="功能模块明细"/>
      <w:r>
        <w:t xml:space="preserve">3.1 </w:t>
      </w:r>
      <w:r>
        <w:rPr>
          <w:rFonts w:hint="eastAsia"/>
        </w:rPr>
        <w:t>功能模块明细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035"/>
        <w:gridCol w:w="4761"/>
        <w:gridCol w:w="1391"/>
        <w:gridCol w:w="864"/>
      </w:tblGrid>
      <w:tr w14:paraId="496E0C8A">
        <w:trPr>
          <w:tblHeader/>
        </w:trPr>
        <w:tc>
          <w:p w14:paraId="6327EB3D">
            <w:pPr>
              <w:pStyle w:val="24"/>
            </w:pPr>
            <w:r>
              <w:rPr>
                <w:rFonts w:hint="eastAsia"/>
              </w:rPr>
              <w:t>模块编号</w:t>
            </w:r>
          </w:p>
        </w:tc>
        <w:tc>
          <w:p w14:paraId="756D4EE0">
            <w:pPr>
              <w:pStyle w:val="24"/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2688" w:type="pct"/>
          </w:tcPr>
          <w:p w14:paraId="04C29C04">
            <w:pPr>
              <w:pStyle w:val="24"/>
            </w:pPr>
            <w:r>
              <w:rPr>
                <w:rFonts w:hint="eastAsia"/>
              </w:rPr>
              <w:t>功能说明</w:t>
            </w:r>
          </w:p>
        </w:tc>
        <w:tc>
          <w:tcPr>
            <w:tcW w:w="785" w:type="pct"/>
          </w:tcPr>
          <w:p w14:paraId="1CD90EA8">
            <w:pPr>
              <w:pStyle w:val="24"/>
            </w:pPr>
            <w:r>
              <w:rPr>
                <w:rFonts w:hint="eastAsia"/>
              </w:rPr>
              <w:t>验收标准</w:t>
            </w:r>
          </w:p>
        </w:tc>
        <w:tc>
          <w:tcPr>
            <w:tcW w:w="487" w:type="pct"/>
          </w:tcPr>
          <w:p w14:paraId="70347C41">
            <w:pPr>
              <w:pStyle w:val="24"/>
            </w:pPr>
            <w:r>
              <w:rPr>
                <w:rFonts w:hint="eastAsia"/>
              </w:rPr>
              <w:t>工时</w:t>
            </w:r>
          </w:p>
        </w:tc>
      </w:tr>
      <w:tr w14:paraId="13344894">
        <w:tc>
          <w:p w14:paraId="20D23F9F">
            <w:pPr>
              <w:pStyle w:val="24"/>
            </w:pPr>
            <w:r>
              <w:rPr>
                <w:b/>
                <w:bCs/>
              </w:rPr>
              <w:t>M1</w:t>
            </w:r>
          </w:p>
        </w:tc>
        <w:tc>
          <w:p w14:paraId="484FA926">
            <w:pPr>
              <w:pStyle w:val="24"/>
            </w:pPr>
            <w:r>
              <w:t xml:space="preserve">FDA </w:t>
            </w:r>
            <w:r>
              <w:rPr>
                <w:rFonts w:hint="eastAsia"/>
              </w:rPr>
              <w:t>召回数据</w:t>
            </w:r>
          </w:p>
        </w:tc>
        <w:tc>
          <w:tcPr>
            <w:tcW w:w="2688" w:type="pct"/>
          </w:tcPr>
          <w:p w14:paraId="5156FF9E">
            <w:pPr>
              <w:pStyle w:val="24"/>
            </w:pPr>
            <w:r>
              <w:rPr>
                <w:rFonts w:hint="eastAsia"/>
              </w:rPr>
              <w:t>公开数据全量/增量同步；等级、原因、厂商、日期、批号信息等</w:t>
            </w:r>
          </w:p>
        </w:tc>
        <w:tc>
          <w:tcPr>
            <w:tcW w:w="785" w:type="pct"/>
          </w:tcPr>
          <w:p w14:paraId="68660A2F">
            <w:pPr>
              <w:pStyle w:val="24"/>
            </w:pPr>
            <w:r>
              <w:rPr>
                <w:rFonts w:hint="eastAsia"/>
              </w:rPr>
              <w:t>可查询；显示最后更新时间</w:t>
            </w:r>
          </w:p>
        </w:tc>
        <w:tc>
          <w:tcPr>
            <w:tcW w:w="487" w:type="pct"/>
          </w:tcPr>
          <w:p w14:paraId="084C7C6F">
            <w:pPr>
              <w:pStyle w:val="24"/>
            </w:pPr>
            <w:r>
              <w:t>10</w:t>
            </w:r>
          </w:p>
        </w:tc>
      </w:tr>
      <w:tr w14:paraId="1D3D62B6">
        <w:tc>
          <w:p w14:paraId="4A0083DD">
            <w:pPr>
              <w:pStyle w:val="24"/>
            </w:pPr>
            <w:r>
              <w:rPr>
                <w:b/>
                <w:bCs/>
              </w:rPr>
              <w:t>M2</w:t>
            </w:r>
          </w:p>
        </w:tc>
        <w:tc>
          <w:p w14:paraId="08EFF6CD">
            <w:pPr>
              <w:pStyle w:val="24"/>
            </w:pPr>
            <w:r>
              <w:rPr>
                <w:rFonts w:hint="eastAsia"/>
              </w:rPr>
              <w:t>药品目录</w:t>
            </w:r>
          </w:p>
        </w:tc>
        <w:tc>
          <w:tcPr>
            <w:tcW w:w="2688" w:type="pct"/>
          </w:tcPr>
          <w:p w14:paraId="10CCF98D">
            <w:pPr>
              <w:pStyle w:val="24"/>
            </w:pPr>
            <w:r>
              <w:t xml:space="preserve">NDC </w:t>
            </w:r>
            <w:r>
              <w:rPr>
                <w:rFonts w:hint="eastAsia"/>
              </w:rPr>
              <w:t>目录；按名称搜索辅助选手动录入</w:t>
            </w:r>
          </w:p>
        </w:tc>
        <w:tc>
          <w:tcPr>
            <w:tcW w:w="785" w:type="pct"/>
          </w:tcPr>
          <w:p w14:paraId="2EC9340A">
            <w:pPr>
              <w:pStyle w:val="24"/>
            </w:pPr>
            <w:r>
              <w:rPr>
                <w:rFonts w:hint="eastAsia"/>
              </w:rPr>
              <w:t>添加药箱时可搜索选药</w:t>
            </w:r>
          </w:p>
        </w:tc>
        <w:tc>
          <w:tcPr>
            <w:tcW w:w="487" w:type="pct"/>
          </w:tcPr>
          <w:p w14:paraId="6EA390F2">
            <w:pPr>
              <w:pStyle w:val="24"/>
            </w:pPr>
            <w:r>
              <w:t>5</w:t>
            </w:r>
          </w:p>
        </w:tc>
      </w:tr>
      <w:tr w14:paraId="5CA2A4CB">
        <w:tc>
          <w:p w14:paraId="58296C39">
            <w:pPr>
              <w:pStyle w:val="24"/>
            </w:pPr>
            <w:r>
              <w:rPr>
                <w:b/>
                <w:bCs/>
              </w:rPr>
              <w:t>M3</w:t>
            </w:r>
          </w:p>
        </w:tc>
        <w:tc>
          <w:p w14:paraId="143E01AC">
            <w:pPr>
              <w:pStyle w:val="24"/>
            </w:pPr>
            <w:r>
              <w:rPr>
                <w:rFonts w:hint="eastAsia"/>
              </w:rPr>
              <w:t>召回匹配引擎</w:t>
            </w:r>
          </w:p>
        </w:tc>
        <w:tc>
          <w:tcPr>
            <w:tcW w:w="2688" w:type="pct"/>
          </w:tcPr>
          <w:p w14:paraId="538EEAC5">
            <w:pPr>
              <w:pStyle w:val="24"/>
            </w:pPr>
            <w:r>
              <w:rPr>
                <w:rFonts w:hint="eastAsia"/>
              </w:rPr>
              <w:t>药品名/厂商/NDC</w:t>
            </w:r>
            <w:r>
              <w:t xml:space="preserve"> </w:t>
            </w:r>
            <w:r>
              <w:rPr>
                <w:rFonts w:hint="eastAsia"/>
              </w:rPr>
              <w:t>匹配；批号比对；新召回与加药触发检查；通知去重</w:t>
            </w:r>
          </w:p>
        </w:tc>
        <w:tc>
          <w:tcPr>
            <w:tcW w:w="785" w:type="pct"/>
          </w:tcPr>
          <w:p w14:paraId="64C955B2">
            <w:pPr>
              <w:pStyle w:val="24"/>
            </w:pPr>
            <w:r>
              <w:rPr>
                <w:rFonts w:hint="eastAsia"/>
              </w:rPr>
              <w:t>测试可触发且不重复</w:t>
            </w:r>
          </w:p>
        </w:tc>
        <w:tc>
          <w:tcPr>
            <w:tcW w:w="487" w:type="pct"/>
          </w:tcPr>
          <w:p w14:paraId="343BE143">
            <w:pPr>
              <w:pStyle w:val="24"/>
            </w:pPr>
            <w:r>
              <w:t>12</w:t>
            </w:r>
          </w:p>
        </w:tc>
      </w:tr>
      <w:tr w14:paraId="5F412D13">
        <w:tc>
          <w:p w14:paraId="37AD7971">
            <w:pPr>
              <w:pStyle w:val="24"/>
            </w:pPr>
            <w:r>
              <w:rPr>
                <w:b/>
                <w:bCs/>
              </w:rPr>
              <w:t>M4</w:t>
            </w:r>
          </w:p>
        </w:tc>
        <w:tc>
          <w:p w14:paraId="0BF7F01A">
            <w:pPr>
              <w:pStyle w:val="24"/>
            </w:pPr>
            <w:r>
              <w:rPr>
                <w:rFonts w:hint="eastAsia"/>
              </w:rPr>
              <w:t>用户账户</w:t>
            </w:r>
          </w:p>
        </w:tc>
        <w:tc>
          <w:tcPr>
            <w:tcW w:w="2688" w:type="pct"/>
          </w:tcPr>
          <w:p w14:paraId="524861F1">
            <w:pPr>
              <w:pStyle w:val="24"/>
            </w:pPr>
            <w:r>
              <w:rPr>
                <w:rFonts w:hint="eastAsia"/>
              </w:rPr>
              <w:t>邮箱注册登录；忘记密码；</w:t>
            </w:r>
            <w:r>
              <w:rPr>
                <w:b/>
                <w:bCs/>
              </w:rPr>
              <w:t>Google OAuth</w:t>
            </w:r>
          </w:p>
        </w:tc>
        <w:tc>
          <w:tcPr>
            <w:tcW w:w="785" w:type="pct"/>
          </w:tcPr>
          <w:p w14:paraId="6798A4EA">
            <w:pPr>
              <w:pStyle w:val="24"/>
            </w:pPr>
            <w:r>
              <w:rPr>
                <w:rFonts w:hint="eastAsia"/>
              </w:rPr>
              <w:t>全流程可用</w:t>
            </w:r>
          </w:p>
        </w:tc>
        <w:tc>
          <w:tcPr>
            <w:tcW w:w="487" w:type="pct"/>
          </w:tcPr>
          <w:p w14:paraId="45D359B8">
            <w:pPr>
              <w:pStyle w:val="24"/>
            </w:pPr>
            <w:r>
              <w:t>7</w:t>
            </w:r>
          </w:p>
        </w:tc>
      </w:tr>
      <w:tr w14:paraId="3A3BAFB5">
        <w:tc>
          <w:p w14:paraId="2FA19A4C">
            <w:pPr>
              <w:pStyle w:val="24"/>
            </w:pPr>
            <w:r>
              <w:rPr>
                <w:b/>
                <w:bCs/>
              </w:rPr>
              <w:t>M5</w:t>
            </w:r>
          </w:p>
        </w:tc>
        <w:tc>
          <w:p w14:paraId="03734610">
            <w:pPr>
              <w:pStyle w:val="24"/>
            </w:pPr>
            <w:r>
              <w:rPr>
                <w:rFonts w:hint="eastAsia"/>
              </w:rPr>
              <w:t>个人药箱</w:t>
            </w:r>
          </w:p>
        </w:tc>
        <w:tc>
          <w:tcPr>
            <w:tcW w:w="2688" w:type="pct"/>
          </w:tcPr>
          <w:p w14:paraId="73CF9D92">
            <w:pPr>
              <w:pStyle w:val="24"/>
            </w:pPr>
            <w:r>
              <w:rPr>
                <w:rFonts w:hint="eastAsia"/>
                <w:b/>
                <w:bCs/>
              </w:rPr>
              <w:t>手动录入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/>
                <w:bCs/>
              </w:rPr>
              <w:t>必填</w:t>
            </w:r>
            <w:r>
              <w:rPr>
                <w:rFonts w:hint="eastAsia"/>
              </w:rPr>
              <w:t>药品名、生产厂家；</w:t>
            </w:r>
            <w:r>
              <w:rPr>
                <w:rFonts w:hint="eastAsia"/>
                <w:b/>
                <w:bCs/>
              </w:rPr>
              <w:t>选填</w:t>
            </w:r>
            <w:r>
              <w:t xml:space="preserve"> </w:t>
            </w:r>
            <w:r>
              <w:rPr>
                <w:rFonts w:hint="eastAsia"/>
              </w:rPr>
              <w:t>NDC、批号；增删改停用</w:t>
            </w:r>
          </w:p>
        </w:tc>
        <w:tc>
          <w:tcPr>
            <w:tcW w:w="785" w:type="pct"/>
          </w:tcPr>
          <w:p w14:paraId="5171078C">
            <w:pPr>
              <w:pStyle w:val="24"/>
            </w:pPr>
            <w:r>
              <w:rPr>
                <w:rFonts w:hint="eastAsia"/>
              </w:rPr>
              <w:t>药箱可管理</w:t>
            </w:r>
          </w:p>
        </w:tc>
        <w:tc>
          <w:tcPr>
            <w:tcW w:w="487" w:type="pct"/>
          </w:tcPr>
          <w:p w14:paraId="619A1583">
            <w:pPr>
              <w:pStyle w:val="24"/>
            </w:pPr>
            <w:r>
              <w:t>9</w:t>
            </w:r>
          </w:p>
        </w:tc>
      </w:tr>
      <w:tr w14:paraId="4D50B2B2">
        <w:tc>
          <w:p w14:paraId="74AB7402">
            <w:pPr>
              <w:pStyle w:val="24"/>
            </w:pPr>
            <w:r>
              <w:rPr>
                <w:b/>
                <w:bCs/>
              </w:rPr>
              <w:t>M6</w:t>
            </w:r>
          </w:p>
        </w:tc>
        <w:tc>
          <w:p w14:paraId="50360CF0">
            <w:pPr>
              <w:pStyle w:val="24"/>
            </w:pPr>
            <w:r>
              <w:rPr>
                <w:rFonts w:hint="eastAsia"/>
              </w:rPr>
              <w:t>用药监控策略</w:t>
            </w:r>
          </w:p>
        </w:tc>
        <w:tc>
          <w:tcPr>
            <w:tcW w:w="2688" w:type="pct"/>
          </w:tcPr>
          <w:p w14:paraId="15BCB98D">
            <w:pPr>
              <w:pStyle w:val="24"/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  <w:b/>
                <w:bCs/>
              </w:rPr>
              <w:t>预计停药时间</w:t>
            </w:r>
            <w:r>
              <w:rPr>
                <w:rFonts w:hint="eastAsia"/>
              </w:rPr>
              <w:t>为监控截止（见第六节）</w:t>
            </w:r>
          </w:p>
        </w:tc>
        <w:tc>
          <w:tcPr>
            <w:tcW w:w="785" w:type="pct"/>
          </w:tcPr>
          <w:p w14:paraId="59D43D1A">
            <w:pPr>
              <w:pStyle w:val="24"/>
            </w:pPr>
            <w:r>
              <w:rPr>
                <w:rFonts w:hint="eastAsia"/>
              </w:rPr>
              <w:t>按确认策略执行</w:t>
            </w:r>
          </w:p>
        </w:tc>
        <w:tc>
          <w:tcPr>
            <w:tcW w:w="487" w:type="pct"/>
          </w:tcPr>
          <w:p w14:paraId="0526AB62">
            <w:pPr>
              <w:pStyle w:val="24"/>
            </w:pPr>
            <w:r>
              <w:t>2</w:t>
            </w:r>
          </w:p>
        </w:tc>
      </w:tr>
      <w:tr w14:paraId="4C21D415">
        <w:tc>
          <w:p w14:paraId="33B6D925">
            <w:pPr>
              <w:pStyle w:val="24"/>
            </w:pPr>
            <w:r>
              <w:rPr>
                <w:b/>
                <w:bCs/>
              </w:rPr>
              <w:t>M7</w:t>
            </w:r>
          </w:p>
        </w:tc>
        <w:tc>
          <w:p w14:paraId="34468CD4">
            <w:pPr>
              <w:pStyle w:val="24"/>
            </w:pPr>
            <w:r>
              <w:rPr>
                <w:rFonts w:hint="eastAsia"/>
              </w:rPr>
              <w:t>邮件通知</w:t>
            </w:r>
          </w:p>
        </w:tc>
        <w:tc>
          <w:tcPr>
            <w:tcW w:w="2688" w:type="pct"/>
          </w:tcPr>
          <w:p w14:paraId="37725393">
            <w:pPr>
              <w:pStyle w:val="24"/>
            </w:pPr>
            <w:r>
              <w:rPr>
                <w:rFonts w:hint="eastAsia"/>
              </w:rPr>
              <w:t>含药品名、厂商、登记时间、等级、原因摘要、FDA</w:t>
            </w:r>
            <w:r>
              <w:t xml:space="preserve"> </w:t>
            </w:r>
            <w:r>
              <w:rPr>
                <w:rFonts w:hint="eastAsia"/>
              </w:rPr>
              <w:t>链接</w:t>
            </w:r>
          </w:p>
        </w:tc>
        <w:tc>
          <w:tcPr>
            <w:tcW w:w="785" w:type="pct"/>
          </w:tcPr>
          <w:p w14:paraId="03F1ECA0">
            <w:pPr>
              <w:pStyle w:val="24"/>
            </w:pPr>
            <w:r>
              <w:rPr>
                <w:rFonts w:hint="eastAsia"/>
              </w:rPr>
              <w:t>测试邮箱可收到</w:t>
            </w:r>
          </w:p>
        </w:tc>
        <w:tc>
          <w:tcPr>
            <w:tcW w:w="487" w:type="pct"/>
          </w:tcPr>
          <w:p w14:paraId="0E5FAAC7">
            <w:pPr>
              <w:pStyle w:val="24"/>
            </w:pPr>
            <w:r>
              <w:t>5</w:t>
            </w:r>
          </w:p>
        </w:tc>
      </w:tr>
      <w:tr w14:paraId="21A95801">
        <w:tc>
          <w:p w14:paraId="74000EE8">
            <w:pPr>
              <w:pStyle w:val="24"/>
            </w:pPr>
            <w:r>
              <w:rPr>
                <w:b/>
                <w:bCs/>
              </w:rPr>
              <w:t>M8</w:t>
            </w:r>
          </w:p>
        </w:tc>
        <w:tc>
          <w:p w14:paraId="4FBA79D7">
            <w:pPr>
              <w:pStyle w:val="24"/>
            </w:pPr>
            <w:r>
              <w:rPr>
                <w:rFonts w:hint="eastAsia"/>
              </w:rPr>
              <w:t>站内通知中心</w:t>
            </w:r>
          </w:p>
        </w:tc>
        <w:tc>
          <w:tcPr>
            <w:tcW w:w="2688" w:type="pct"/>
          </w:tcPr>
          <w:p w14:paraId="3FC8753E">
            <w:pPr>
              <w:pStyle w:val="24"/>
            </w:pPr>
            <w:r>
              <w:rPr>
                <w:rFonts w:hint="eastAsia"/>
              </w:rPr>
              <w:t>历史通知与已读状态</w:t>
            </w:r>
          </w:p>
        </w:tc>
        <w:tc>
          <w:tcPr>
            <w:tcW w:w="785" w:type="pct"/>
          </w:tcPr>
          <w:p w14:paraId="54E49146">
            <w:pPr>
              <w:pStyle w:val="24"/>
            </w:pPr>
            <w:r>
              <w:rPr>
                <w:rFonts w:hint="eastAsia"/>
              </w:rPr>
              <w:t>与邮件一致</w:t>
            </w:r>
          </w:p>
        </w:tc>
        <w:tc>
          <w:tcPr>
            <w:tcW w:w="487" w:type="pct"/>
          </w:tcPr>
          <w:p w14:paraId="57544969">
            <w:pPr>
              <w:pStyle w:val="24"/>
            </w:pPr>
            <w:r>
              <w:t>3</w:t>
            </w:r>
          </w:p>
        </w:tc>
      </w:tr>
      <w:tr w14:paraId="306D7D96">
        <w:tc>
          <w:p w14:paraId="3DC5D546">
            <w:pPr>
              <w:pStyle w:val="24"/>
            </w:pPr>
            <w:r>
              <w:rPr>
                <w:b/>
                <w:bCs/>
              </w:rPr>
              <w:t>M9</w:t>
            </w:r>
          </w:p>
        </w:tc>
        <w:tc>
          <w:p w14:paraId="69299A63">
            <w:pPr>
              <w:pStyle w:val="24"/>
            </w:pPr>
            <w:r>
              <w:rPr>
                <w:rFonts w:hint="eastAsia"/>
              </w:rPr>
              <w:t>分级通知文案</w:t>
            </w:r>
          </w:p>
        </w:tc>
        <w:tc>
          <w:tcPr>
            <w:tcW w:w="2688" w:type="pct"/>
          </w:tcPr>
          <w:p w14:paraId="07E96C73">
            <w:pPr>
              <w:pStyle w:val="24"/>
            </w:pPr>
            <w:r>
              <w:t xml:space="preserve">Class I/II/III </w:t>
            </w:r>
            <w:r>
              <w:rPr>
                <w:rFonts w:hint="eastAsia"/>
              </w:rPr>
              <w:t>模板（见第六节）</w:t>
            </w:r>
          </w:p>
        </w:tc>
        <w:tc>
          <w:tcPr>
            <w:tcW w:w="785" w:type="pct"/>
          </w:tcPr>
          <w:p w14:paraId="09EA4B4C">
            <w:pPr>
              <w:pStyle w:val="24"/>
            </w:pPr>
            <w:r>
              <w:rPr>
                <w:rFonts w:hint="eastAsia"/>
              </w:rPr>
              <w:t>客户确认后上线</w:t>
            </w:r>
          </w:p>
        </w:tc>
        <w:tc>
          <w:tcPr>
            <w:tcW w:w="487" w:type="pct"/>
          </w:tcPr>
          <w:p w14:paraId="09BD797D">
            <w:pPr>
              <w:pStyle w:val="24"/>
            </w:pPr>
            <w:r>
              <w:t>2</w:t>
            </w:r>
          </w:p>
        </w:tc>
      </w:tr>
      <w:tr w14:paraId="6870FE1B">
        <w:tc>
          <w:p w14:paraId="008E00D4">
            <w:pPr>
              <w:pStyle w:val="24"/>
            </w:pPr>
            <w:r>
              <w:rPr>
                <w:b/>
                <w:bCs/>
              </w:rPr>
              <w:t>M10</w:t>
            </w:r>
          </w:p>
        </w:tc>
        <w:tc>
          <w:p w14:paraId="579EBEC4">
            <w:pPr>
              <w:pStyle w:val="24"/>
            </w:pPr>
            <w:r>
              <w:rPr>
                <w:rFonts w:hint="eastAsia"/>
              </w:rPr>
              <w:t>用户界面</w:t>
            </w:r>
          </w:p>
        </w:tc>
        <w:tc>
          <w:tcPr>
            <w:tcW w:w="2688" w:type="pct"/>
          </w:tcPr>
          <w:p w14:paraId="4CD13619">
            <w:pPr>
              <w:pStyle w:val="24"/>
            </w:pPr>
            <w:r>
              <w:rPr>
                <w:rFonts w:hint="eastAsia"/>
              </w:rPr>
              <w:t>药箱、受影响召回、详情、免责声明</w:t>
            </w:r>
          </w:p>
        </w:tc>
        <w:tc>
          <w:tcPr>
            <w:tcW w:w="785" w:type="pct"/>
          </w:tcPr>
          <w:p w14:paraId="0FB5762E">
            <w:pPr>
              <w:pStyle w:val="24"/>
            </w:pPr>
            <w:r>
              <w:rPr>
                <w:rFonts w:hint="eastAsia"/>
              </w:rPr>
              <w:t>可查看未处理项</w:t>
            </w:r>
          </w:p>
        </w:tc>
        <w:tc>
          <w:tcPr>
            <w:tcW w:w="487" w:type="pct"/>
          </w:tcPr>
          <w:p w14:paraId="341080C7">
            <w:pPr>
              <w:pStyle w:val="24"/>
            </w:pPr>
            <w:r>
              <w:t>6</w:t>
            </w:r>
          </w:p>
        </w:tc>
      </w:tr>
      <w:tr w14:paraId="6B8AC377">
        <w:tc>
          <w:p w14:paraId="013ED49F">
            <w:pPr>
              <w:pStyle w:val="24"/>
            </w:pPr>
            <w:r>
              <w:rPr>
                <w:b/>
                <w:bCs/>
              </w:rPr>
              <w:t>M11</w:t>
            </w:r>
          </w:p>
        </w:tc>
        <w:tc>
          <w:p w14:paraId="554E5899">
            <w:pPr>
              <w:pStyle w:val="24"/>
            </w:pPr>
            <w:r>
              <w:rPr>
                <w:rFonts w:hint="eastAsia"/>
              </w:rPr>
              <w:t>即时召回查询</w:t>
            </w:r>
          </w:p>
        </w:tc>
        <w:tc>
          <w:tcPr>
            <w:tcW w:w="2688" w:type="pct"/>
          </w:tcPr>
          <w:p w14:paraId="03A8F740">
            <w:pPr>
              <w:pStyle w:val="24"/>
            </w:pPr>
            <w:r>
              <w:rPr>
                <w:rFonts w:hint="eastAsia"/>
                <w:b/>
                <w:bCs/>
              </w:rPr>
              <w:t>手动输入</w:t>
            </w:r>
            <w:r>
              <w:rPr>
                <w:rFonts w:hint="eastAsia"/>
              </w:rPr>
              <w:t>药品信息</w:t>
            </w:r>
            <w:r>
              <w:t xml:space="preserve"> / </w:t>
            </w:r>
            <w:r>
              <w:rPr>
                <w:rFonts w:hint="eastAsia"/>
              </w:rPr>
              <w:t>NDC；三态结果</w:t>
            </w:r>
          </w:p>
        </w:tc>
        <w:tc>
          <w:tcPr>
            <w:tcW w:w="785" w:type="pct"/>
          </w:tcPr>
          <w:p w14:paraId="376983FD">
            <w:pPr>
              <w:pStyle w:val="24"/>
            </w:pPr>
            <w:r>
              <w:rPr>
                <w:rFonts w:hint="eastAsia"/>
              </w:rPr>
              <w:t>样例通过</w:t>
            </w:r>
          </w:p>
        </w:tc>
        <w:tc>
          <w:tcPr>
            <w:tcW w:w="487" w:type="pct"/>
          </w:tcPr>
          <w:p w14:paraId="2DD6AA59">
            <w:pPr>
              <w:pStyle w:val="24"/>
            </w:pPr>
            <w:r>
              <w:t>5</w:t>
            </w:r>
          </w:p>
        </w:tc>
      </w:tr>
      <w:tr w14:paraId="6FC1A107">
        <w:tc>
          <w:p w14:paraId="0055CF85">
            <w:pPr>
              <w:pStyle w:val="24"/>
            </w:pPr>
            <w:r>
              <w:rPr>
                <w:b/>
                <w:bCs/>
              </w:rPr>
              <w:t>M12</w:t>
            </w:r>
          </w:p>
        </w:tc>
        <w:tc>
          <w:p w14:paraId="4AED4320">
            <w:pPr>
              <w:pStyle w:val="24"/>
            </w:pPr>
            <w:r>
              <w:rPr>
                <w:rFonts w:hint="eastAsia"/>
              </w:rPr>
              <w:t>隐私与法律页面</w:t>
            </w:r>
          </w:p>
        </w:tc>
        <w:tc>
          <w:tcPr>
            <w:tcW w:w="2688" w:type="pct"/>
          </w:tcPr>
          <w:p w14:paraId="7D0C2D67">
            <w:pPr>
              <w:pStyle w:val="24"/>
            </w:pPr>
            <w:r>
              <w:rPr>
                <w:rFonts w:hint="eastAsia"/>
              </w:rPr>
              <w:t>隐私政策、用户协议、免责声明、</w:t>
            </w:r>
            <w:r>
              <w:rPr>
                <w:b/>
                <w:bCs/>
              </w:rPr>
              <w:t xml:space="preserve">Cookie </w:t>
            </w: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5" w:type="pct"/>
          </w:tcPr>
          <w:p w14:paraId="2735A47C">
            <w:pPr>
              <w:pStyle w:val="24"/>
            </w:pPr>
            <w:r>
              <w:rPr>
                <w:rFonts w:hint="eastAsia"/>
              </w:rPr>
              <w:t>注册前可访问并同意</w:t>
            </w:r>
          </w:p>
        </w:tc>
        <w:tc>
          <w:tcPr>
            <w:tcW w:w="487" w:type="pct"/>
          </w:tcPr>
          <w:p w14:paraId="3C3BD736">
            <w:pPr>
              <w:pStyle w:val="24"/>
            </w:pPr>
            <w:r>
              <w:t>2</w:t>
            </w:r>
          </w:p>
        </w:tc>
      </w:tr>
      <w:tr w14:paraId="26C30211">
        <w:tc>
          <w:p w14:paraId="1F0659AD">
            <w:pPr>
              <w:pStyle w:val="24"/>
            </w:pPr>
            <w:r>
              <w:rPr>
                <w:b/>
                <w:bCs/>
              </w:rPr>
              <w:t>M13</w:t>
            </w:r>
          </w:p>
        </w:tc>
        <w:tc>
          <w:p w14:paraId="41063C26">
            <w:pPr>
              <w:pStyle w:val="24"/>
            </w:pPr>
            <w:r>
              <w:rPr>
                <w:rFonts w:hint="eastAsia"/>
              </w:rPr>
              <w:t>运维监控（基础）</w:t>
            </w:r>
          </w:p>
        </w:tc>
        <w:tc>
          <w:tcPr>
            <w:tcW w:w="2688" w:type="pct"/>
          </w:tcPr>
          <w:p w14:paraId="0171ABD7">
            <w:pPr>
              <w:pStyle w:val="24"/>
            </w:pPr>
            <w:r>
              <w:rPr>
                <w:rFonts w:hint="eastAsia"/>
              </w:rPr>
              <w:t>同步日志；失败邮件告警</w:t>
            </w:r>
          </w:p>
        </w:tc>
        <w:tc>
          <w:tcPr>
            <w:tcW w:w="785" w:type="pct"/>
          </w:tcPr>
          <w:p w14:paraId="4E82DC8C">
            <w:pPr>
              <w:pStyle w:val="24"/>
            </w:pPr>
            <w:r>
              <w:rPr>
                <w:rFonts w:hint="eastAsia"/>
              </w:rPr>
              <w:t>指定邮箱可告警</w:t>
            </w:r>
          </w:p>
        </w:tc>
        <w:tc>
          <w:tcPr>
            <w:tcW w:w="487" w:type="pct"/>
          </w:tcPr>
          <w:p w14:paraId="37C6434E">
            <w:pPr>
              <w:pStyle w:val="24"/>
            </w:pPr>
            <w:r>
              <w:t>2</w:t>
            </w:r>
          </w:p>
        </w:tc>
      </w:tr>
      <w:tr w14:paraId="75930268">
        <w:tc>
          <w:p w14:paraId="00D3FDC5">
            <w:pPr>
              <w:pStyle w:val="24"/>
            </w:pPr>
            <w:r>
              <w:rPr>
                <w:b/>
                <w:bCs/>
              </w:rPr>
              <w:t>M14</w:t>
            </w:r>
          </w:p>
        </w:tc>
        <w:tc>
          <w:p w14:paraId="32E0BDC6">
            <w:pPr>
              <w:pStyle w:val="24"/>
            </w:pPr>
            <w:r>
              <w:rPr>
                <w:rFonts w:hint="eastAsia"/>
              </w:rPr>
              <w:t>测试与上线</w:t>
            </w:r>
          </w:p>
        </w:tc>
        <w:tc>
          <w:tcPr>
            <w:tcW w:w="2688" w:type="pct"/>
          </w:tcPr>
          <w:p w14:paraId="1B850A71">
            <w:pPr>
              <w:pStyle w:val="24"/>
            </w:pPr>
            <w:r>
              <w:rPr>
                <w:rFonts w:hint="eastAsia"/>
              </w:rPr>
              <w:t>测试、部署、1</w:t>
            </w:r>
            <w:r>
              <w:t xml:space="preserve"> </w:t>
            </w:r>
            <w:r>
              <w:rPr>
                <w:rFonts w:hint="eastAsia"/>
              </w:rPr>
              <w:t>轮</w:t>
            </w:r>
            <w:r>
              <w:t xml:space="preserve"> UAT</w:t>
            </w:r>
          </w:p>
        </w:tc>
        <w:tc>
          <w:tcPr>
            <w:tcW w:w="785" w:type="pct"/>
          </w:tcPr>
          <w:p w14:paraId="28BE02BC">
            <w:pPr>
              <w:pStyle w:val="24"/>
            </w:pPr>
            <w:r>
              <w:t xml:space="preserve">MVP </w:t>
            </w:r>
            <w:r>
              <w:rPr>
                <w:rFonts w:hint="eastAsia"/>
              </w:rPr>
              <w:t>清单通过</w:t>
            </w:r>
          </w:p>
        </w:tc>
        <w:tc>
          <w:tcPr>
            <w:tcW w:w="487" w:type="pct"/>
          </w:tcPr>
          <w:p w14:paraId="7D52C7F1">
            <w:pPr>
              <w:pStyle w:val="24"/>
            </w:pPr>
            <w:r>
              <w:t>4</w:t>
            </w:r>
          </w:p>
        </w:tc>
      </w:tr>
      <w:tr w14:paraId="063E7595">
        <w:tc>
          <w:p w14:paraId="324A24E9">
            <w:pPr>
              <w:pStyle w:val="24"/>
            </w:pPr>
            <w:r>
              <w:rPr>
                <w:b/>
                <w:bCs/>
              </w:rPr>
              <w:t>M15</w:t>
            </w:r>
          </w:p>
        </w:tc>
        <w:tc>
          <w:p w14:paraId="7E6248F0">
            <w:pPr>
              <w:pStyle w:val="24"/>
            </w:pPr>
            <w:r>
              <w:rPr>
                <w:rFonts w:hint="eastAsia"/>
              </w:rPr>
              <w:t>项目管理与文档</w:t>
            </w:r>
          </w:p>
        </w:tc>
        <w:tc>
          <w:tcPr>
            <w:tcW w:w="2688" w:type="pct"/>
          </w:tcPr>
          <w:p w14:paraId="30D4E0AB">
            <w:pPr>
              <w:pStyle w:val="24"/>
            </w:pPr>
            <w:r>
              <w:rPr>
                <w:rFonts w:hint="eastAsia"/>
              </w:rPr>
              <w:t>演示、验收材料、英文操作说明</w:t>
            </w:r>
          </w:p>
        </w:tc>
        <w:tc>
          <w:tcPr>
            <w:tcW w:w="785" w:type="pct"/>
          </w:tcPr>
          <w:p w14:paraId="5B7A4A43">
            <w:pPr>
              <w:pStyle w:val="24"/>
            </w:pPr>
            <w:r>
              <w:t xml:space="preserve">MVP </w:t>
            </w:r>
            <w:r>
              <w:rPr>
                <w:rFonts w:hint="eastAsia"/>
              </w:rPr>
              <w:t>里程碑确认</w:t>
            </w:r>
          </w:p>
        </w:tc>
        <w:tc>
          <w:tcPr>
            <w:tcW w:w="487" w:type="pct"/>
          </w:tcPr>
          <w:p w14:paraId="06BE34B7">
            <w:pPr>
              <w:pStyle w:val="24"/>
            </w:pPr>
            <w:r>
              <w:t>3</w:t>
            </w:r>
          </w:p>
        </w:tc>
      </w:tr>
      <w:tr w14:paraId="6792D4FF">
        <w:tc>
          <w:p w14:paraId="2E18300A">
            <w:pPr>
              <w:pStyle w:val="24"/>
            </w:pPr>
          </w:p>
        </w:tc>
        <w:tc>
          <w:p w14:paraId="693BFCB3">
            <w:pPr>
              <w:pStyle w:val="24"/>
            </w:pPr>
            <w:r>
              <w:rPr>
                <w:rFonts w:hint="eastAsia"/>
                <w:b/>
                <w:bCs/>
              </w:rPr>
              <w:t>阶段一合计</w:t>
            </w:r>
          </w:p>
        </w:tc>
        <w:tc>
          <w:tcPr>
            <w:tcW w:w="2688" w:type="pct"/>
          </w:tcPr>
          <w:p w14:paraId="2FC218BE">
            <w:pPr>
              <w:pStyle w:val="24"/>
            </w:pPr>
          </w:p>
        </w:tc>
        <w:tc>
          <w:tcPr>
            <w:tcW w:w="785" w:type="pct"/>
          </w:tcPr>
          <w:p w14:paraId="2CFCCBC9">
            <w:pPr>
              <w:pStyle w:val="24"/>
            </w:pPr>
          </w:p>
        </w:tc>
        <w:tc>
          <w:tcPr>
            <w:tcW w:w="487" w:type="pct"/>
          </w:tcPr>
          <w:p w14:paraId="6B5797CA">
            <w:pPr>
              <w:pStyle w:val="24"/>
            </w:pPr>
            <w:r>
              <w:rPr>
                <w:b/>
                <w:bCs/>
              </w:rPr>
              <w:t>65</w:t>
            </w:r>
          </w:p>
        </w:tc>
      </w:tr>
      <w:bookmarkEnd w:id="4"/>
    </w:tbl>
    <w:p w14:paraId="1E9BBE9F">
      <w:pPr>
        <w:pStyle w:val="5"/>
      </w:pPr>
      <w:bookmarkStart w:id="5" w:name="阶段一-mvp-验收清单"/>
      <w:r>
        <w:t xml:space="preserve">3.2 </w:t>
      </w:r>
      <w:r>
        <w:rPr>
          <w:rFonts w:hint="eastAsia"/>
        </w:rPr>
        <w:t>阶段一</w:t>
      </w:r>
      <w:r>
        <w:t xml:space="preserve"> — MVP </w:t>
      </w:r>
      <w:r>
        <w:rPr>
          <w:rFonts w:hint="eastAsia"/>
        </w:rPr>
        <w:t>验收清单</w:t>
      </w:r>
    </w:p>
    <w:p w14:paraId="3E70A037">
      <w:pPr>
        <w:pStyle w:val="24"/>
        <w:numPr>
          <w:ilvl w:val="0"/>
          <w:numId w:val="1"/>
        </w:numPr>
      </w:pPr>
      <w:r>
        <w:rPr>
          <w:rFonts w:hint="eastAsia"/>
        </w:rPr>
        <w:t>召回数据可同步并显示更新时间</w:t>
      </w:r>
      <w:r>
        <w:br w:type="textWrapping"/>
      </w:r>
    </w:p>
    <w:p w14:paraId="33B7DDF9">
      <w:pPr>
        <w:pStyle w:val="24"/>
        <w:numPr>
          <w:ilvl w:val="0"/>
          <w:numId w:val="1"/>
        </w:numPr>
      </w:pPr>
      <w:r>
        <w:rPr>
          <w:rFonts w:hint="eastAsia"/>
        </w:rPr>
        <w:t>邮箱</w:t>
      </w:r>
      <w:r>
        <w:t xml:space="preserve"> / Google </w:t>
      </w:r>
      <w:r>
        <w:rPr>
          <w:rFonts w:hint="eastAsia"/>
        </w:rPr>
        <w:t>登录；药箱通过</w:t>
      </w:r>
      <w:r>
        <w:rPr>
          <w:rFonts w:hint="eastAsia"/>
          <w:b/>
          <w:bCs/>
        </w:rPr>
        <w:t>手动输入</w:t>
      </w:r>
      <w:r>
        <w:rPr>
          <w:rFonts w:hint="eastAsia"/>
        </w:rPr>
        <w:t>维护（药品名</w:t>
      </w:r>
      <w:r>
        <w:t xml:space="preserve"> + </w:t>
      </w:r>
      <w:r>
        <w:rPr>
          <w:rFonts w:hint="eastAsia"/>
        </w:rPr>
        <w:t>厂商必填）</w:t>
      </w:r>
      <w:r>
        <w:br w:type="textWrapping"/>
      </w:r>
    </w:p>
    <w:p w14:paraId="524EE339">
      <w:pPr>
        <w:pStyle w:val="24"/>
        <w:numPr>
          <w:ilvl w:val="0"/>
          <w:numId w:val="1"/>
        </w:numPr>
      </w:pPr>
      <w:r>
        <w:rPr>
          <w:rFonts w:hint="eastAsia"/>
        </w:rPr>
        <w:t>监控期内匹配召回可收邮件与站内通知</w:t>
      </w:r>
      <w:r>
        <w:br w:type="textWrapping"/>
      </w:r>
    </w:p>
    <w:p w14:paraId="3EC65BA8">
      <w:pPr>
        <w:pStyle w:val="24"/>
        <w:numPr>
          <w:ilvl w:val="0"/>
          <w:numId w:val="1"/>
        </w:numPr>
      </w:pPr>
      <w:r>
        <w:rPr>
          <w:rFonts w:hint="eastAsia"/>
        </w:rPr>
        <w:t>通知含等级、原因、FDA</w:t>
      </w:r>
      <w:r>
        <w:t xml:space="preserve"> </w:t>
      </w:r>
      <w:r>
        <w:rPr>
          <w:rFonts w:hint="eastAsia"/>
        </w:rPr>
        <w:t>链接</w:t>
      </w:r>
      <w:r>
        <w:br w:type="textWrapping"/>
      </w:r>
    </w:p>
    <w:p w14:paraId="3746BDC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手动</w:t>
      </w:r>
      <w:r>
        <w:rPr>
          <w:rFonts w:hint="eastAsia"/>
        </w:rPr>
        <w:t>即时查询（无扫码、无拍照、无短信）</w:t>
      </w:r>
      <w:r>
        <w:br w:type="textWrapping"/>
      </w:r>
    </w:p>
    <w:p w14:paraId="294011B3">
      <w:pPr>
        <w:pStyle w:val="24"/>
        <w:numPr>
          <w:ilvl w:val="0"/>
          <w:numId w:val="1"/>
        </w:numPr>
      </w:pPr>
      <w:r>
        <w:rPr>
          <w:rFonts w:hint="eastAsia"/>
        </w:rPr>
        <w:t>法律页面与</w:t>
      </w:r>
      <w:r>
        <w:t xml:space="preserve"> Cookie </w:t>
      </w:r>
      <w:r>
        <w:rPr>
          <w:rFonts w:hint="eastAsia"/>
        </w:rPr>
        <w:t>说明已上线</w:t>
      </w:r>
      <w:r>
        <w:br w:type="textWrapping"/>
      </w:r>
    </w:p>
    <w:p w14:paraId="1AAAB157">
      <w:pPr>
        <w:pStyle w:val="24"/>
        <w:numPr>
          <w:ilvl w:val="0"/>
          <w:numId w:val="1"/>
        </w:numPr>
      </w:pPr>
      <w:r>
        <w:t xml:space="preserve">MVP </w:t>
      </w:r>
      <w:r>
        <w:rPr>
          <w:rFonts w:hint="eastAsia"/>
        </w:rPr>
        <w:t>环境稳定、同步按日执行</w:t>
      </w:r>
    </w:p>
    <w:p w14:paraId="4BD6393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5"/>
    <w:p w14:paraId="4DDF3733">
      <w:pPr>
        <w:pStyle w:val="4"/>
      </w:pPr>
      <w:bookmarkStart w:id="6" w:name="四阶段二-完整-web-交付最终版本"/>
      <w:r>
        <w:rPr>
          <w:rFonts w:hint="eastAsia"/>
        </w:rPr>
        <w:t>四、阶段二</w:t>
      </w:r>
      <w:r>
        <w:t xml:space="preserve"> — </w:t>
      </w:r>
      <w:r>
        <w:rPr>
          <w:rFonts w:hint="eastAsia"/>
        </w:rPr>
        <w:t>完整</w:t>
      </w:r>
      <w:r>
        <w:t xml:space="preserve"> Web </w:t>
      </w:r>
      <w:r>
        <w:rPr>
          <w:rFonts w:hint="eastAsia"/>
        </w:rPr>
        <w:t>交付（最终版本）</w:t>
      </w:r>
    </w:p>
    <w:p w14:paraId="485BE915">
      <w:pPr>
        <w:pStyle w:val="23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：在</w:t>
      </w:r>
      <w:r>
        <w:t xml:space="preserve"> MVP </w:t>
      </w:r>
      <w:r>
        <w:rPr>
          <w:rFonts w:hint="eastAsia"/>
        </w:rPr>
        <w:t>基础上完成短信、家庭药箱、批号增强、召回浏览、通知偏好、数据导出等；</w:t>
      </w:r>
      <w:r>
        <w:rPr>
          <w:rFonts w:hint="eastAsia"/>
          <w:b/>
          <w:bCs/>
        </w:rPr>
        <w:t>仍仅支持手动输入药品信息</w:t>
      </w:r>
      <w:r>
        <w:t>。</w:t>
      </w:r>
    </w:p>
    <w:p w14:paraId="0877AC79">
      <w:pPr>
        <w:pStyle w:val="3"/>
      </w:pPr>
      <w:r>
        <w:rPr>
          <w:rFonts w:hint="eastAsia"/>
          <w:b/>
          <w:bCs/>
        </w:rPr>
        <w:t>本阶段不包含</w:t>
      </w:r>
      <w:r>
        <w:rPr>
          <w:rFonts w:hint="eastAsia"/>
        </w:rPr>
        <w:t>：条码扫描、拍照/OCR、扫码/拍照加入药箱。</w:t>
      </w:r>
    </w:p>
    <w:p w14:paraId="0DB6B730">
      <w:pPr>
        <w:pStyle w:val="3"/>
      </w:pPr>
      <w:r>
        <w:rPr>
          <w:rFonts w:hint="eastAsia"/>
          <w:b/>
          <w:bCs/>
        </w:rPr>
        <w:t>本阶段工时</w:t>
      </w:r>
      <w:r>
        <w:rPr>
          <w:rFonts w:hint="eastAsia"/>
        </w:rPr>
        <w:t>：</w:t>
      </w:r>
      <w:r>
        <w:rPr>
          <w:b/>
          <w:bCs/>
        </w:rPr>
        <w:t xml:space="preserve">35 </w:t>
      </w:r>
      <w:r>
        <w:rPr>
          <w:rFonts w:hint="eastAsia"/>
          <w:b/>
          <w:bCs/>
        </w:rPr>
        <w:t>人时</w:t>
      </w:r>
      <w:r>
        <w:rPr>
          <w:rFonts w:hint="eastAsia"/>
        </w:rPr>
        <w:t>（折合</w:t>
      </w:r>
      <w:r>
        <w:t xml:space="preserve"> </w:t>
      </w:r>
      <w:r>
        <w:rPr>
          <w:b/>
          <w:bCs/>
        </w:rPr>
        <w:t>USD 3,500</w:t>
      </w:r>
      <w:r>
        <w:rPr>
          <w:rFonts w:hint="eastAsia"/>
        </w:rPr>
        <w:t>）</w:t>
      </w:r>
    </w:p>
    <w:p w14:paraId="2B49C07D">
      <w:pPr>
        <w:pStyle w:val="5"/>
      </w:pPr>
      <w:bookmarkStart w:id="7" w:name="功能模块明细-1"/>
      <w:r>
        <w:t xml:space="preserve">4.1 </w:t>
      </w:r>
      <w:r>
        <w:rPr>
          <w:rFonts w:hint="eastAsia"/>
        </w:rPr>
        <w:t>功能模块明细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1504"/>
        <w:gridCol w:w="3844"/>
        <w:gridCol w:w="1002"/>
        <w:gridCol w:w="1002"/>
      </w:tblGrid>
      <w:tr w14:paraId="22ED514F">
        <w:trPr>
          <w:tblHeader/>
        </w:trPr>
        <w:tc>
          <w:p w14:paraId="535BC39B">
            <w:pPr>
              <w:pStyle w:val="24"/>
            </w:pPr>
            <w:r>
              <w:rPr>
                <w:rFonts w:hint="eastAsia"/>
              </w:rPr>
              <w:t>模块编号</w:t>
            </w:r>
          </w:p>
        </w:tc>
        <w:tc>
          <w:p w14:paraId="43C802C0">
            <w:pPr>
              <w:pStyle w:val="24"/>
            </w:pPr>
            <w:r>
              <w:rPr>
                <w:rFonts w:hint="eastAsia"/>
              </w:rPr>
              <w:t>模块名称</w:t>
            </w:r>
          </w:p>
        </w:tc>
        <w:tc>
          <w:p w14:paraId="784C0709">
            <w:pPr>
              <w:pStyle w:val="24"/>
            </w:pPr>
            <w:r>
              <w:rPr>
                <w:rFonts w:hint="eastAsia"/>
              </w:rPr>
              <w:t>功能说明</w:t>
            </w:r>
          </w:p>
        </w:tc>
        <w:tc>
          <w:p w14:paraId="6DFB3BED">
            <w:pPr>
              <w:pStyle w:val="24"/>
            </w:pPr>
            <w:r>
              <w:rPr>
                <w:rFonts w:hint="eastAsia"/>
              </w:rPr>
              <w:t>验收标准</w:t>
            </w:r>
          </w:p>
        </w:tc>
        <w:tc>
          <w:p w14:paraId="2BBB12DF">
            <w:pPr>
              <w:pStyle w:val="24"/>
            </w:pPr>
            <w:r>
              <w:rPr>
                <w:rFonts w:hint="eastAsia"/>
              </w:rPr>
              <w:t>工时</w:t>
            </w:r>
          </w:p>
        </w:tc>
      </w:tr>
      <w:tr w14:paraId="6122F44B">
        <w:tc>
          <w:p w14:paraId="1A9922F8">
            <w:pPr>
              <w:pStyle w:val="24"/>
            </w:pPr>
            <w:r>
              <w:rPr>
                <w:b/>
                <w:bCs/>
              </w:rPr>
              <w:t>V2-4</w:t>
            </w:r>
          </w:p>
        </w:tc>
        <w:tc>
          <w:p w14:paraId="05241AAC">
            <w:pPr>
              <w:pStyle w:val="24"/>
            </w:pPr>
            <w:r>
              <w:rPr>
                <w:rFonts w:hint="eastAsia"/>
              </w:rPr>
              <w:t>家庭成员药箱</w:t>
            </w:r>
          </w:p>
        </w:tc>
        <w:tc>
          <w:p w14:paraId="1D545B80">
            <w:pPr>
              <w:pStyle w:val="24"/>
            </w:pPr>
            <w:r>
              <w:rPr>
                <w:rFonts w:hint="eastAsia"/>
              </w:rPr>
              <w:t>多成员独立药箱与通知；药品均为</w:t>
            </w:r>
            <w:r>
              <w:rPr>
                <w:rFonts w:hint="eastAsia"/>
                <w:b/>
                <w:bCs/>
              </w:rPr>
              <w:t>手动添加</w:t>
            </w:r>
          </w:p>
        </w:tc>
        <w:tc>
          <w:p w14:paraId="16E7915A">
            <w:pPr>
              <w:pStyle w:val="24"/>
            </w:pPr>
            <w:r>
              <w:rPr>
                <w:rFonts w:hint="eastAsia"/>
              </w:rPr>
              <w:t>切换成员正确</w:t>
            </w:r>
          </w:p>
        </w:tc>
        <w:tc>
          <w:p w14:paraId="6CAEBAB5">
            <w:pPr>
              <w:pStyle w:val="24"/>
            </w:pPr>
            <w:r>
              <w:t>6</w:t>
            </w:r>
          </w:p>
        </w:tc>
      </w:tr>
      <w:tr w14:paraId="64BF753C">
        <w:tc>
          <w:p w14:paraId="62E980AE">
            <w:pPr>
              <w:pStyle w:val="24"/>
            </w:pPr>
            <w:r>
              <w:rPr>
                <w:b/>
                <w:bCs/>
              </w:rPr>
              <w:t>V2-6</w:t>
            </w:r>
          </w:p>
        </w:tc>
        <w:tc>
          <w:p w14:paraId="50613414">
            <w:pPr>
              <w:pStyle w:val="24"/>
            </w:pPr>
            <w:r>
              <w:rPr>
                <w:rFonts w:hint="eastAsia"/>
              </w:rPr>
              <w:t>批号解析增强</w:t>
            </w:r>
          </w:p>
        </w:tc>
        <w:tc>
          <w:p w14:paraId="21E6B287">
            <w:pPr>
              <w:pStyle w:val="24"/>
            </w:pPr>
            <w:r>
              <w:rPr>
                <w:rFonts w:hint="eastAsia"/>
              </w:rPr>
              <w:t>提升公告文本批号识别（配合手动填写的批号）</w:t>
            </w:r>
          </w:p>
        </w:tc>
        <w:tc>
          <w:p w14:paraId="68F105C7">
            <w:pPr>
              <w:pStyle w:val="24"/>
            </w:pPr>
            <w:r>
              <w:rPr>
                <w:rFonts w:hint="eastAsia"/>
              </w:rPr>
              <w:t>样例达标</w:t>
            </w:r>
          </w:p>
        </w:tc>
        <w:tc>
          <w:p w14:paraId="72B057A6">
            <w:pPr>
              <w:pStyle w:val="24"/>
            </w:pPr>
            <w:r>
              <w:t>6</w:t>
            </w:r>
          </w:p>
        </w:tc>
      </w:tr>
      <w:tr w14:paraId="3D3EC098">
        <w:tc>
          <w:p w14:paraId="1BA55A2D">
            <w:pPr>
              <w:pStyle w:val="24"/>
            </w:pPr>
            <w:r>
              <w:rPr>
                <w:b/>
                <w:bCs/>
              </w:rPr>
              <w:t>V2-7</w:t>
            </w:r>
          </w:p>
        </w:tc>
        <w:tc>
          <w:p w14:paraId="2A65722C">
            <w:pPr>
              <w:pStyle w:val="24"/>
            </w:pPr>
            <w:r>
              <w:rPr>
                <w:rFonts w:hint="eastAsia"/>
              </w:rPr>
              <w:t>召回公告浏览</w:t>
            </w:r>
          </w:p>
        </w:tc>
        <w:tc>
          <w:p w14:paraId="5324086C">
            <w:pPr>
              <w:pStyle w:val="24"/>
            </w:pPr>
            <w:r>
              <w:rPr>
                <w:rFonts w:hint="eastAsia"/>
              </w:rPr>
              <w:t>按等级、日期浏览</w:t>
            </w:r>
          </w:p>
        </w:tc>
        <w:tc>
          <w:p w14:paraId="4455F1F1">
            <w:pPr>
              <w:pStyle w:val="24"/>
            </w:pPr>
            <w:r>
              <w:rPr>
                <w:rFonts w:hint="eastAsia"/>
              </w:rPr>
              <w:t>可筛选详情</w:t>
            </w:r>
          </w:p>
        </w:tc>
        <w:tc>
          <w:p w14:paraId="12F76273">
            <w:pPr>
              <w:pStyle w:val="24"/>
            </w:pPr>
            <w:r>
              <w:t>6</w:t>
            </w:r>
          </w:p>
        </w:tc>
      </w:tr>
      <w:tr w14:paraId="72E4865F">
        <w:tc>
          <w:p w14:paraId="6A8BDBB9">
            <w:pPr>
              <w:pStyle w:val="24"/>
            </w:pPr>
            <w:r>
              <w:rPr>
                <w:b/>
                <w:bCs/>
              </w:rPr>
              <w:t>V2-8</w:t>
            </w:r>
          </w:p>
        </w:tc>
        <w:tc>
          <w:p w14:paraId="153A7743">
            <w:pPr>
              <w:pStyle w:val="24"/>
            </w:pPr>
            <w:r>
              <w:rPr>
                <w:rFonts w:hint="eastAsia"/>
              </w:rPr>
              <w:t>通知偏好设置</w:t>
            </w:r>
          </w:p>
        </w:tc>
        <w:tc>
          <w:p w14:paraId="748D214C">
            <w:pPr>
              <w:pStyle w:val="24"/>
            </w:pPr>
            <w:r>
              <w:rPr>
                <w:rFonts w:hint="eastAsia"/>
              </w:rPr>
              <w:t>邮件/短信、Class</w:t>
            </w:r>
            <w:r>
              <w:t xml:space="preserve"> </w:t>
            </w:r>
            <w:r>
              <w:rPr>
                <w:rFonts w:hint="eastAsia"/>
              </w:rPr>
              <w:t>级别等</w:t>
            </w:r>
          </w:p>
        </w:tc>
        <w:tc>
          <w:p w14:paraId="58A9986C">
            <w:pPr>
              <w:pStyle w:val="24"/>
            </w:pPr>
            <w:r>
              <w:rPr>
                <w:rFonts w:hint="eastAsia"/>
              </w:rPr>
              <w:t>与发送一致</w:t>
            </w:r>
          </w:p>
        </w:tc>
        <w:tc>
          <w:p w14:paraId="1395B84E">
            <w:pPr>
              <w:pStyle w:val="24"/>
            </w:pPr>
            <w:r>
              <w:t>4</w:t>
            </w:r>
          </w:p>
        </w:tc>
      </w:tr>
      <w:tr w14:paraId="4F200646">
        <w:tc>
          <w:p w14:paraId="27B7E5FD">
            <w:pPr>
              <w:pStyle w:val="24"/>
            </w:pPr>
            <w:r>
              <w:rPr>
                <w:b/>
                <w:bCs/>
              </w:rPr>
              <w:t>V2-9</w:t>
            </w:r>
          </w:p>
        </w:tc>
        <w:tc>
          <w:p w14:paraId="6CBA1DDF">
            <w:pPr>
              <w:pStyle w:val="24"/>
            </w:pPr>
            <w:r>
              <w:rPr>
                <w:rFonts w:hint="eastAsia"/>
              </w:rPr>
              <w:t>短信通知（Web）</w:t>
            </w:r>
          </w:p>
        </w:tc>
        <w:tc>
          <w:p w14:paraId="7BCC3B4D">
            <w:pPr>
              <w:pStyle w:val="24"/>
            </w:pPr>
            <w:r>
              <w:t xml:space="preserve">opt-in </w:t>
            </w:r>
            <w:r>
              <w:rPr>
                <w:rFonts w:hint="eastAsia"/>
              </w:rPr>
              <w:t>绑号；召回短信</w:t>
            </w:r>
          </w:p>
        </w:tc>
        <w:tc>
          <w:p w14:paraId="0A373C99">
            <w:pPr>
              <w:pStyle w:val="24"/>
            </w:pPr>
            <w:r>
              <w:rPr>
                <w:rFonts w:hint="eastAsia"/>
              </w:rPr>
              <w:t>测试号可收</w:t>
            </w:r>
          </w:p>
        </w:tc>
        <w:tc>
          <w:p w14:paraId="1FDA8DA2">
            <w:pPr>
              <w:pStyle w:val="24"/>
            </w:pPr>
            <w:r>
              <w:t>6</w:t>
            </w:r>
          </w:p>
        </w:tc>
      </w:tr>
      <w:tr w14:paraId="5C1FFA41">
        <w:tc>
          <w:p w14:paraId="2919C880">
            <w:pPr>
              <w:pStyle w:val="24"/>
            </w:pPr>
            <w:r>
              <w:rPr>
                <w:b/>
                <w:bCs/>
              </w:rPr>
              <w:t>V2-10</w:t>
            </w:r>
          </w:p>
        </w:tc>
        <w:tc>
          <w:p w14:paraId="1065D21F">
            <w:pPr>
              <w:pStyle w:val="24"/>
            </w:pPr>
            <w:r>
              <w:rPr>
                <w:rFonts w:hint="eastAsia"/>
              </w:rPr>
              <w:t>账户数据导出</w:t>
            </w:r>
          </w:p>
        </w:tc>
        <w:tc>
          <w:p w14:paraId="36F385C7">
            <w:pPr>
              <w:pStyle w:val="24"/>
            </w:pPr>
            <w:r>
              <w:rPr>
                <w:rFonts w:hint="eastAsia"/>
              </w:rPr>
              <w:t>导出个人数据</w:t>
            </w:r>
          </w:p>
        </w:tc>
        <w:tc>
          <w:p w14:paraId="6749EFFF">
            <w:pPr>
              <w:pStyle w:val="24"/>
            </w:pPr>
            <w:r>
              <w:rPr>
                <w:rFonts w:hint="eastAsia"/>
              </w:rPr>
              <w:t>可下载</w:t>
            </w:r>
          </w:p>
        </w:tc>
        <w:tc>
          <w:p w14:paraId="5BC83454">
            <w:pPr>
              <w:pStyle w:val="24"/>
            </w:pPr>
            <w:r>
              <w:t>2</w:t>
            </w:r>
          </w:p>
        </w:tc>
      </w:tr>
      <w:tr w14:paraId="39A0177B">
        <w:tc>
          <w:p w14:paraId="71E7B08E">
            <w:pPr>
              <w:pStyle w:val="24"/>
            </w:pPr>
            <w:r>
              <w:rPr>
                <w:b/>
                <w:bCs/>
              </w:rPr>
              <w:t>V2-11</w:t>
            </w:r>
          </w:p>
        </w:tc>
        <w:tc>
          <w:p w14:paraId="0E3056EC">
            <w:pPr>
              <w:pStyle w:val="24"/>
            </w:pPr>
            <w:r>
              <w:rPr>
                <w:rFonts w:hint="eastAsia"/>
              </w:rPr>
              <w:t>测试与最终验收</w:t>
            </w:r>
          </w:p>
        </w:tc>
        <w:tc>
          <w:p w14:paraId="7A6BD2AC">
            <w:pPr>
              <w:pStyle w:val="24"/>
            </w:pPr>
            <w:r>
              <w:rPr>
                <w:rFonts w:hint="eastAsia"/>
              </w:rPr>
              <w:t>完整版</w:t>
            </w:r>
            <w:r>
              <w:t xml:space="preserve"> UAT </w:t>
            </w:r>
            <w:r>
              <w:rPr>
                <w:rFonts w:hint="eastAsia"/>
              </w:rPr>
              <w:t>与上线</w:t>
            </w:r>
          </w:p>
        </w:tc>
        <w:tc>
          <w:p w14:paraId="2D4E7031">
            <w:pPr>
              <w:pStyle w:val="24"/>
            </w:pPr>
            <w:r>
              <w:rPr>
                <w:rFonts w:hint="eastAsia"/>
              </w:rPr>
              <w:t>最终清单通过</w:t>
            </w:r>
          </w:p>
        </w:tc>
        <w:tc>
          <w:p w14:paraId="4E478027">
            <w:pPr>
              <w:pStyle w:val="24"/>
            </w:pPr>
            <w:r>
              <w:t>5</w:t>
            </w:r>
          </w:p>
        </w:tc>
      </w:tr>
      <w:tr w14:paraId="04DD9EA2">
        <w:tc>
          <w:p w14:paraId="5B33B5BF">
            <w:pPr>
              <w:pStyle w:val="24"/>
            </w:pPr>
          </w:p>
        </w:tc>
        <w:tc>
          <w:p w14:paraId="3C17E019">
            <w:pPr>
              <w:pStyle w:val="24"/>
            </w:pPr>
            <w:r>
              <w:rPr>
                <w:rFonts w:hint="eastAsia"/>
                <w:b/>
                <w:bCs/>
              </w:rPr>
              <w:t>阶段二合计</w:t>
            </w:r>
          </w:p>
        </w:tc>
        <w:tc>
          <w:p w14:paraId="2E4B3FC1">
            <w:pPr>
              <w:pStyle w:val="24"/>
            </w:pPr>
          </w:p>
        </w:tc>
        <w:tc>
          <w:p w14:paraId="395AE441">
            <w:pPr>
              <w:pStyle w:val="24"/>
            </w:pPr>
          </w:p>
        </w:tc>
        <w:tc>
          <w:p w14:paraId="09589B41">
            <w:pPr>
              <w:pStyle w:val="24"/>
            </w:pPr>
            <w:r>
              <w:rPr>
                <w:b/>
                <w:bCs/>
              </w:rPr>
              <w:t>35</w:t>
            </w:r>
          </w:p>
        </w:tc>
      </w:tr>
    </w:tbl>
    <w:p w14:paraId="3CC1B5DF">
      <w:pPr>
        <w:pStyle w:val="3"/>
      </w:pPr>
      <w:r>
        <w:rPr>
          <w:rFonts w:hint="eastAsia"/>
          <w:i/>
          <w:iCs/>
        </w:rPr>
        <w:t>已取消且不在本合同内：V2-1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条码扫描、V2-2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拍照识别、V2-3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扫码/拍照入库、仿制药</w:t>
      </w:r>
      <w:r>
        <w:rPr>
          <w:i/>
          <w:iCs/>
        </w:rPr>
        <w:t xml:space="preserve"> NDC </w:t>
      </w:r>
      <w:r>
        <w:rPr>
          <w:rFonts w:hint="eastAsia"/>
          <w:i/>
          <w:iCs/>
        </w:rPr>
        <w:t>关联。</w:t>
      </w:r>
    </w:p>
    <w:bookmarkEnd w:id="7"/>
    <w:p w14:paraId="5FA4C2A7">
      <w:pPr>
        <w:pStyle w:val="5"/>
      </w:pPr>
      <w:bookmarkStart w:id="8" w:name="阶段二-最终验收清单"/>
      <w:r>
        <w:t xml:space="preserve">4.2 </w:t>
      </w:r>
      <w:r>
        <w:rPr>
          <w:rFonts w:hint="eastAsia"/>
        </w:rPr>
        <w:t>阶段二</w:t>
      </w:r>
      <w:r>
        <w:t xml:space="preserve"> — </w:t>
      </w:r>
      <w:r>
        <w:rPr>
          <w:rFonts w:hint="eastAsia"/>
        </w:rPr>
        <w:t>最终验收清单</w:t>
      </w:r>
    </w:p>
    <w:p w14:paraId="5E043D08">
      <w:pPr>
        <w:pStyle w:val="24"/>
        <w:numPr>
          <w:ilvl w:val="0"/>
          <w:numId w:val="1"/>
        </w:numPr>
      </w:pPr>
      <w:r>
        <w:rPr>
          <w:rFonts w:hint="eastAsia"/>
        </w:rPr>
        <w:t>短信受偏好与</w:t>
      </w:r>
      <w:r>
        <w:t xml:space="preserve"> opt-in </w:t>
      </w:r>
      <w:r>
        <w:rPr>
          <w:rFonts w:hint="eastAsia"/>
        </w:rPr>
        <w:t>控制</w:t>
      </w:r>
      <w:r>
        <w:br w:type="textWrapping"/>
      </w:r>
    </w:p>
    <w:p w14:paraId="547FC635">
      <w:pPr>
        <w:pStyle w:val="24"/>
        <w:numPr>
          <w:ilvl w:val="0"/>
          <w:numId w:val="1"/>
        </w:numPr>
      </w:pPr>
      <w:r>
        <w:rPr>
          <w:rFonts w:hint="eastAsia"/>
        </w:rPr>
        <w:t>家庭药箱（手动维护）与通知正确</w:t>
      </w:r>
      <w:r>
        <w:br w:type="textWrapping"/>
      </w:r>
    </w:p>
    <w:p w14:paraId="2EFDE621">
      <w:pPr>
        <w:pStyle w:val="24"/>
        <w:numPr>
          <w:ilvl w:val="0"/>
          <w:numId w:val="1"/>
        </w:numPr>
      </w:pPr>
      <w:r>
        <w:rPr>
          <w:rFonts w:hint="eastAsia"/>
        </w:rPr>
        <w:t>批号增强、召回浏览、通知偏好、数据导出可用</w:t>
      </w:r>
      <w:r>
        <w:br w:type="textWrapping"/>
      </w:r>
    </w:p>
    <w:p w14:paraId="3B6F3EA4">
      <w:pPr>
        <w:pStyle w:val="24"/>
        <w:numPr>
          <w:ilvl w:val="0"/>
          <w:numId w:val="1"/>
        </w:numPr>
      </w:pPr>
      <w:r>
        <w:rPr>
          <w:rFonts w:hint="eastAsia"/>
        </w:rPr>
        <w:t>全站</w:t>
      </w:r>
      <w:r>
        <w:rPr>
          <w:rFonts w:hint="eastAsia"/>
          <w:b/>
          <w:bCs/>
        </w:rPr>
        <w:t>无</w:t>
      </w:r>
      <w:r>
        <w:rPr>
          <w:rFonts w:hint="eastAsia"/>
        </w:rPr>
        <w:t>条码/拍照识别入口</w:t>
      </w:r>
      <w:r>
        <w:br w:type="textWrapping"/>
      </w:r>
    </w:p>
    <w:p w14:paraId="770094E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完整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>版</w:t>
      </w:r>
      <w:r>
        <w:rPr>
          <w:rFonts w:hint="eastAsia"/>
        </w:rPr>
        <w:t>生产上线</w:t>
      </w:r>
    </w:p>
    <w:p w14:paraId="45499A98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p w14:paraId="66E3FAC1">
      <w:pPr>
        <w:pStyle w:val="4"/>
      </w:pPr>
      <w:bookmarkStart w:id="9" w:name="五明确不包含在本合同内的内容"/>
      <w:r>
        <w:rPr>
          <w:rFonts w:hint="eastAsia"/>
        </w:rPr>
        <w:t>五、明确不包含在本合同内的内容</w:t>
      </w:r>
    </w:p>
    <w:p w14:paraId="22867A89">
      <w:pPr>
        <w:pStyle w:val="24"/>
        <w:numPr>
          <w:ilvl w:val="0"/>
          <w:numId w:val="1"/>
        </w:numPr>
      </w:pPr>
      <w:r>
        <w:rPr>
          <w:rFonts w:hint="eastAsia"/>
        </w:rPr>
        <w:t>原生</w:t>
      </w:r>
      <w:r>
        <w:t xml:space="preserve"> </w:t>
      </w:r>
      <w:r>
        <w:rPr>
          <w:b/>
          <w:bCs/>
        </w:rPr>
        <w:t>iOS / Android</w:t>
      </w:r>
      <w:r>
        <w:t xml:space="preserve"> </w:t>
      </w:r>
      <w:r>
        <w:rPr>
          <w:rFonts w:hint="eastAsia"/>
        </w:rPr>
        <w:t>应用及</w:t>
      </w:r>
      <w:r>
        <w:t xml:space="preserve"> </w:t>
      </w:r>
      <w:r>
        <w:rPr>
          <w:b/>
          <w:bCs/>
        </w:rPr>
        <w:t xml:space="preserve">App </w:t>
      </w:r>
      <w:r>
        <w:rPr>
          <w:rFonts w:hint="eastAsia"/>
          <w:b/>
          <w:bCs/>
        </w:rPr>
        <w:t>推送（Push）</w:t>
      </w:r>
      <w:r>
        <w:br w:type="textWrapping"/>
      </w:r>
    </w:p>
    <w:p w14:paraId="759F52B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条码扫描</w:t>
      </w:r>
      <w:r>
        <w:t>、</w:t>
      </w:r>
      <w:r>
        <w:rPr>
          <w:rFonts w:hint="eastAsia"/>
          <w:b/>
          <w:bCs/>
        </w:rPr>
        <w:t>拍照</w:t>
      </w:r>
      <w:r>
        <w:rPr>
          <w:b/>
          <w:bCs/>
        </w:rPr>
        <w:t xml:space="preserve"> / OCR </w:t>
      </w:r>
      <w:r>
        <w:rPr>
          <w:rFonts w:hint="eastAsia"/>
          <w:b/>
          <w:bCs/>
        </w:rPr>
        <w:t>识别</w:t>
      </w:r>
      <w:r>
        <w:rPr>
          <w:rFonts w:hint="eastAsia"/>
        </w:rPr>
        <w:t>及基于识别的入库流程</w:t>
      </w:r>
      <w:r>
        <w:br w:type="textWrapping"/>
      </w:r>
    </w:p>
    <w:p w14:paraId="7A195E48">
      <w:pPr>
        <w:pStyle w:val="24"/>
        <w:numPr>
          <w:ilvl w:val="0"/>
          <w:numId w:val="1"/>
        </w:numPr>
      </w:pPr>
      <w:r>
        <w:rPr>
          <w:rFonts w:hint="eastAsia"/>
        </w:rPr>
        <w:t>医疗诊断、用药/停药建议</w:t>
      </w:r>
      <w:r>
        <w:br w:type="textWrapping"/>
      </w:r>
    </w:p>
    <w:p w14:paraId="48BBB528">
      <w:pPr>
        <w:pStyle w:val="24"/>
        <w:numPr>
          <w:ilvl w:val="0"/>
          <w:numId w:val="1"/>
        </w:numPr>
      </w:pPr>
      <w:r>
        <w:rPr>
          <w:rFonts w:hint="eastAsia"/>
        </w:rPr>
        <w:t>美国以外市场数据；处方药开具；药房</w:t>
      </w:r>
      <w:r>
        <w:t xml:space="preserve"> ERP</w:t>
      </w:r>
      <w:r>
        <w:br w:type="textWrapping"/>
      </w:r>
    </w:p>
    <w:p w14:paraId="44A005FB">
      <w:pPr>
        <w:pStyle w:val="24"/>
        <w:numPr>
          <w:ilvl w:val="0"/>
          <w:numId w:val="1"/>
        </w:numPr>
      </w:pPr>
      <w:r>
        <w:rPr>
          <w:rFonts w:hint="eastAsia"/>
        </w:rPr>
        <w:t>仿制药</w:t>
      </w:r>
      <w:r>
        <w:t xml:space="preserve"> NDC </w:t>
      </w:r>
      <w:r>
        <w:rPr>
          <w:rFonts w:hint="eastAsia"/>
        </w:rPr>
        <w:t>扩展关联</w:t>
      </w:r>
      <w:r>
        <w:br w:type="textWrapping"/>
      </w:r>
    </w:p>
    <w:p w14:paraId="50B4993B">
      <w:pPr>
        <w:pStyle w:val="24"/>
        <w:numPr>
          <w:ilvl w:val="0"/>
          <w:numId w:val="1"/>
        </w:numPr>
      </w:pPr>
      <w:r>
        <w:rPr>
          <w:rFonts w:hint="eastAsia"/>
        </w:rPr>
        <w:t>应用商店开发者年费；短信/邮件用量费</w:t>
      </w:r>
      <w:r>
        <w:br w:type="textWrapping"/>
      </w:r>
    </w:p>
    <w:p w14:paraId="09E24802">
      <w:pPr>
        <w:pStyle w:val="24"/>
        <w:numPr>
          <w:ilvl w:val="0"/>
          <w:numId w:val="1"/>
        </w:numPr>
      </w:pPr>
      <w:r>
        <w:rPr>
          <w:rFonts w:hint="eastAsia"/>
        </w:rPr>
        <w:t>客户律师费、SaMD</w:t>
      </w:r>
      <w:r>
        <w:t xml:space="preserve"> </w:t>
      </w:r>
      <w:r>
        <w:rPr>
          <w:rFonts w:hint="eastAsia"/>
        </w:rPr>
        <w:t>申报费；7×24</w:t>
      </w:r>
      <w:r>
        <w:t xml:space="preserve"> </w:t>
      </w:r>
      <w:r>
        <w:rPr>
          <w:rFonts w:hint="eastAsia"/>
        </w:rPr>
        <w:t>现场运维</w:t>
      </w:r>
    </w:p>
    <w:p w14:paraId="4BC27B0F">
      <w:bookmarkStart w:id="10" w:name="未来可另行报价的扩展"/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0"/>
    <w:p w14:paraId="26423CD0">
      <w:pPr>
        <w:pStyle w:val="4"/>
      </w:pPr>
      <w:bookmarkStart w:id="11" w:name="六需客户确认的事项签字前请勾选"/>
      <w:r>
        <w:rPr>
          <w:rFonts w:hint="eastAsia"/>
        </w:rPr>
        <w:t>六、需客户确认的事项（签字前请勾选）</w:t>
      </w:r>
    </w:p>
    <w:tbl>
      <w:tblPr>
        <w:tblStyle w:val="41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9"/>
        <w:gridCol w:w="2068"/>
        <w:gridCol w:w="6107"/>
      </w:tblGrid>
      <w:tr w14:paraId="687310BE">
        <w:trPr>
          <w:tblHeader/>
        </w:trPr>
        <w:tc>
          <w:tcPr>
            <w:tcW w:w="383" w:type="pct"/>
          </w:tcPr>
          <w:p w14:paraId="6DD69795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tcPr>
            <w:tcW w:w="1167" w:type="pct"/>
          </w:tcPr>
          <w:p w14:paraId="59675AF5">
            <w:pPr>
              <w:pStyle w:val="24"/>
            </w:pPr>
            <w:r>
              <w:rPr>
                <w:rFonts w:hint="eastAsia"/>
              </w:rPr>
              <w:t>确认项</w:t>
            </w:r>
          </w:p>
        </w:tc>
        <w:tc>
          <w:p w14:paraId="184154EC">
            <w:pPr>
              <w:pStyle w:val="24"/>
            </w:pPr>
            <w:r>
              <w:rPr>
                <w:rFonts w:hint="eastAsia"/>
              </w:rPr>
              <w:t>客户选择</w:t>
            </w:r>
          </w:p>
        </w:tc>
      </w:tr>
      <w:tr w14:paraId="4A1D4F94">
        <w:tc>
          <w:tcPr>
            <w:tcW w:w="383" w:type="pct"/>
          </w:tcPr>
          <w:p w14:paraId="7053DD99">
            <w:pPr>
              <w:pStyle w:val="24"/>
            </w:pPr>
            <w:r>
              <w:t>1</w:t>
            </w:r>
          </w:p>
        </w:tc>
        <w:tc>
          <w:tcPr>
            <w:tcW w:w="1167" w:type="pct"/>
          </w:tcPr>
          <w:p w14:paraId="2D3E3CF6">
            <w:pPr>
              <w:pStyle w:val="24"/>
            </w:pPr>
            <w:r>
              <w:rPr>
                <w:rFonts w:hint="eastAsia"/>
              </w:rPr>
              <w:t>药箱监控截止</w:t>
            </w:r>
          </w:p>
        </w:tc>
        <w:tc>
          <w:p w14:paraId="5F1C46EE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预计停药日期</w:t>
            </w:r>
            <w:r>
              <w:t xml:space="preserve"> ☐ </w:t>
            </w:r>
            <w:r>
              <w:rPr>
                <w:rFonts w:hint="eastAsia"/>
              </w:rPr>
              <w:t>固定</w:t>
            </w:r>
            <w:r>
              <w:t xml:space="preserve"> 2/3 </w:t>
            </w:r>
            <w:r>
              <w:rPr>
                <w:rFonts w:hint="eastAsia"/>
              </w:rPr>
              <w:t>个月</w:t>
            </w:r>
            <w:r>
              <w:t xml:space="preserve"> ☐ </w:t>
            </w:r>
            <w:r>
              <w:rPr>
                <w:rFonts w:hint="eastAsia"/>
              </w:rPr>
              <w:t>其他：______</w:t>
            </w:r>
          </w:p>
        </w:tc>
      </w:tr>
      <w:tr w14:paraId="3E149987">
        <w:tc>
          <w:tcPr>
            <w:tcW w:w="383" w:type="pct"/>
          </w:tcPr>
          <w:p w14:paraId="3EF2F4AE">
            <w:pPr>
              <w:pStyle w:val="24"/>
            </w:pPr>
            <w:r>
              <w:t>2</w:t>
            </w:r>
          </w:p>
        </w:tc>
        <w:tc>
          <w:tcPr>
            <w:tcW w:w="1167" w:type="pct"/>
          </w:tcPr>
          <w:p w14:paraId="3299BF6C">
            <w:pPr>
              <w:pStyle w:val="24"/>
            </w:pPr>
            <w:r>
              <w:rPr>
                <w:rFonts w:hint="eastAsia"/>
              </w:rPr>
              <w:t>停药后是否仍通知</w:t>
            </w:r>
          </w:p>
        </w:tc>
        <w:tc>
          <w:p w14:paraId="4DC47B74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不再通知</w:t>
            </w:r>
            <w:r>
              <w:t xml:space="preserve"> ☐ </w:t>
            </w:r>
            <w:r>
              <w:rPr>
                <w:rFonts w:hint="eastAsia"/>
              </w:rPr>
              <w:t>仍按</w:t>
            </w:r>
            <w:r>
              <w:t xml:space="preserve"> NDC ☐ </w:t>
            </w:r>
            <w:r>
              <w:rPr>
                <w:rFonts w:hint="eastAsia"/>
              </w:rPr>
              <w:t>仅</w:t>
            </w:r>
            <w:r>
              <w:t xml:space="preserve"> Class I</w:t>
            </w:r>
          </w:p>
        </w:tc>
      </w:tr>
      <w:tr w14:paraId="35C6A357">
        <w:tc>
          <w:tcPr>
            <w:tcW w:w="383" w:type="pct"/>
          </w:tcPr>
          <w:p w14:paraId="781559E0">
            <w:pPr>
              <w:pStyle w:val="24"/>
            </w:pPr>
            <w:r>
              <w:t>3</w:t>
            </w:r>
          </w:p>
        </w:tc>
        <w:tc>
          <w:tcPr>
            <w:tcW w:w="1167" w:type="pct"/>
          </w:tcPr>
          <w:p w14:paraId="3C4A445F">
            <w:pPr>
              <w:pStyle w:val="24"/>
            </w:pPr>
            <w:r>
              <w:rPr>
                <w:rFonts w:hint="eastAsia"/>
              </w:rPr>
              <w:t>未登录能否即时查询</w:t>
            </w:r>
          </w:p>
        </w:tc>
        <w:tc>
          <w:p w14:paraId="3812D96D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可以</w:t>
            </w:r>
            <w:r>
              <w:t xml:space="preserve"> ☐ </w:t>
            </w:r>
            <w:r>
              <w:rPr>
                <w:rFonts w:hint="eastAsia"/>
              </w:rPr>
              <w:t>须登录</w:t>
            </w:r>
          </w:p>
        </w:tc>
      </w:tr>
      <w:tr w14:paraId="548AD7D8">
        <w:tc>
          <w:tcPr>
            <w:tcW w:w="383" w:type="pct"/>
          </w:tcPr>
          <w:p w14:paraId="2EC10F92">
            <w:pPr>
              <w:pStyle w:val="24"/>
            </w:pPr>
            <w:r>
              <w:t>4</w:t>
            </w:r>
          </w:p>
        </w:tc>
        <w:tc>
          <w:tcPr>
            <w:tcW w:w="1167" w:type="pct"/>
          </w:tcPr>
          <w:p w14:paraId="628B2EEF">
            <w:pPr>
              <w:pStyle w:val="24"/>
            </w:pPr>
            <w:r>
              <w:t xml:space="preserve">Class II/III </w:t>
            </w:r>
            <w:r>
              <w:rPr>
                <w:rFonts w:hint="eastAsia"/>
              </w:rPr>
              <w:t>模板</w:t>
            </w:r>
          </w:p>
        </w:tc>
        <w:tc>
          <w:p w14:paraId="743911C3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同</w:t>
            </w:r>
            <w:r>
              <w:t xml:space="preserve"> Class I ☐ </w:t>
            </w:r>
            <w:r>
              <w:rPr>
                <w:rFonts w:hint="eastAsia"/>
              </w:rPr>
              <w:t>不同模板</w:t>
            </w:r>
            <w:r>
              <w:t xml:space="preserve"> ☐ </w:t>
            </w:r>
            <w:r>
              <w:rPr>
                <w:rFonts w:hint="eastAsia"/>
              </w:rPr>
              <w:t>不通知</w:t>
            </w:r>
          </w:p>
        </w:tc>
      </w:tr>
      <w:tr w14:paraId="6F9317C6">
        <w:tc>
          <w:tcPr>
            <w:tcW w:w="383" w:type="pct"/>
          </w:tcPr>
          <w:p w14:paraId="6FC7C444">
            <w:pPr>
              <w:pStyle w:val="24"/>
            </w:pPr>
            <w:r>
              <w:t>5</w:t>
            </w:r>
          </w:p>
        </w:tc>
        <w:tc>
          <w:tcPr>
            <w:tcW w:w="1167" w:type="pct"/>
          </w:tcPr>
          <w:p w14:paraId="4E41F468">
            <w:pPr>
              <w:pStyle w:val="24"/>
            </w:pPr>
            <w:r>
              <w:rPr>
                <w:rFonts w:hint="eastAsia"/>
              </w:rPr>
              <w:t>默认通知与用户自定义</w:t>
            </w:r>
          </w:p>
        </w:tc>
        <w:tc>
          <w:p w14:paraId="0B2DAA9D">
            <w:pPr>
              <w:pStyle w:val="24"/>
            </w:pPr>
            <w:r>
              <w:rPr>
                <w:rFonts w:hint="eastAsia"/>
              </w:rPr>
              <w:t>默认：______；用户可改方式/Class：☐</w:t>
            </w:r>
            <w:r>
              <w:t xml:space="preserve"> </w:t>
            </w:r>
            <w:r>
              <w:rPr>
                <w:rFonts w:hint="eastAsia"/>
              </w:rPr>
              <w:t>是</w:t>
            </w:r>
            <w:r>
              <w:t xml:space="preserve"> ☐ </w:t>
            </w:r>
            <w:r>
              <w:rPr>
                <w:rFonts w:hint="eastAsia"/>
              </w:rPr>
              <w:t>否</w:t>
            </w:r>
          </w:p>
        </w:tc>
      </w:tr>
      <w:tr w14:paraId="61481D90">
        <w:tc>
          <w:tcPr>
            <w:tcW w:w="383" w:type="pct"/>
          </w:tcPr>
          <w:p w14:paraId="18AEE810">
            <w:pPr>
              <w:pStyle w:val="24"/>
            </w:pPr>
            <w:r>
              <w:t>6</w:t>
            </w:r>
          </w:p>
        </w:tc>
        <w:tc>
          <w:tcPr>
            <w:tcW w:w="1167" w:type="pct"/>
          </w:tcPr>
          <w:p w14:paraId="75248FDD">
            <w:pPr>
              <w:pStyle w:val="24"/>
            </w:pPr>
            <w:r>
              <w:rPr>
                <w:rFonts w:hint="eastAsia"/>
              </w:rPr>
              <w:t>短信/邮件账号</w:t>
            </w:r>
          </w:p>
        </w:tc>
        <w:tc>
          <w:p w14:paraId="2CDA8346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客户提供</w:t>
            </w:r>
            <w:r>
              <w:t xml:space="preserve"> ☐ </w:t>
            </w:r>
            <w:r>
              <w:rPr>
                <w:rFonts w:hint="eastAsia"/>
              </w:rPr>
              <w:t>我方代配（费用客户承担）</w:t>
            </w:r>
          </w:p>
        </w:tc>
      </w:tr>
      <w:tr w14:paraId="57524980">
        <w:tc>
          <w:tcPr>
            <w:tcW w:w="383" w:type="pct"/>
          </w:tcPr>
          <w:p w14:paraId="6022303B">
            <w:pPr>
              <w:pStyle w:val="24"/>
            </w:pPr>
            <w:r>
              <w:t>7</w:t>
            </w:r>
          </w:p>
        </w:tc>
        <w:tc>
          <w:tcPr>
            <w:tcW w:w="1167" w:type="pct"/>
          </w:tcPr>
          <w:p w14:paraId="58D609B7">
            <w:pPr>
              <w:pStyle w:val="24"/>
            </w:pPr>
            <w:r>
              <w:rPr>
                <w:rFonts w:hint="eastAsia"/>
              </w:rPr>
              <w:t>法律文档</w:t>
            </w:r>
          </w:p>
        </w:tc>
        <w:tc>
          <w:p w14:paraId="6DEF2ED5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客户提供</w:t>
            </w:r>
            <w:r>
              <w:t xml:space="preserve"> ☐ </w:t>
            </w:r>
            <w:r>
              <w:rPr>
                <w:rFonts w:hint="eastAsia"/>
              </w:rPr>
              <w:t>我方占位</w:t>
            </w:r>
            <w:r>
              <w:t xml:space="preserve"> + </w:t>
            </w:r>
            <w:r>
              <w:rPr>
                <w:rFonts w:hint="eastAsia"/>
              </w:rPr>
              <w:t>客户修订</w:t>
            </w:r>
          </w:p>
        </w:tc>
      </w:tr>
      <w:tr w14:paraId="2677C2C0">
        <w:tc>
          <w:tcPr>
            <w:tcW w:w="383" w:type="pct"/>
          </w:tcPr>
          <w:p w14:paraId="650F6AF4">
            <w:pPr>
              <w:pStyle w:val="24"/>
            </w:pPr>
            <w:r>
              <w:t>8</w:t>
            </w:r>
          </w:p>
        </w:tc>
        <w:tc>
          <w:tcPr>
            <w:tcW w:w="1167" w:type="pct"/>
          </w:tcPr>
          <w:p w14:paraId="0323DEC0">
            <w:pPr>
              <w:pStyle w:val="24"/>
            </w:pPr>
            <w:r>
              <w:rPr>
                <w:rFonts w:hint="eastAsia"/>
              </w:rPr>
              <w:t>运维告警邮箱</w:t>
            </w:r>
          </w:p>
        </w:tc>
        <w:tc>
          <w:p w14:paraId="3FF9AF23">
            <w:pPr>
              <w:pStyle w:val="24"/>
            </w:pPr>
            <w:r>
              <w:t>______________________________</w:t>
            </w:r>
          </w:p>
        </w:tc>
      </w:tr>
      <w:tr w14:paraId="6DB050C2">
        <w:tc>
          <w:tcPr>
            <w:tcW w:w="383" w:type="pct"/>
          </w:tcPr>
          <w:p w14:paraId="65F08F4F">
            <w:pPr>
              <w:pStyle w:val="24"/>
            </w:pPr>
            <w:r>
              <w:t>9</w:t>
            </w:r>
          </w:p>
        </w:tc>
        <w:tc>
          <w:tcPr>
            <w:tcW w:w="1167" w:type="pct"/>
          </w:tcPr>
          <w:p w14:paraId="60F17119">
            <w:pPr>
              <w:pStyle w:val="24"/>
            </w:pPr>
            <w:r>
              <w:rPr>
                <w:rFonts w:hint="eastAsia"/>
              </w:rPr>
              <w:t>同步</w:t>
            </w:r>
            <w:r>
              <w:t xml:space="preserve"> SLA</w:t>
            </w:r>
          </w:p>
        </w:tc>
        <w:tc>
          <w:p w14:paraId="46B74C8F">
            <w:pPr>
              <w:pStyle w:val="24"/>
            </w:pPr>
            <w:r>
              <w:t xml:space="preserve">FDA </w:t>
            </w:r>
            <w:r>
              <w:rPr>
                <w:rFonts w:hint="eastAsia"/>
              </w:rPr>
              <w:t>更新后</w:t>
            </w:r>
            <w:r>
              <w:t xml:space="preserve"> ______ </w:t>
            </w:r>
            <w:r>
              <w:rPr>
                <w:rFonts w:hint="eastAsia"/>
              </w:rPr>
              <w:t>小时内通知用户</w:t>
            </w:r>
          </w:p>
        </w:tc>
      </w:tr>
      <w:tr w14:paraId="5A183598">
        <w:tc>
          <w:tcPr>
            <w:tcW w:w="383" w:type="pct"/>
          </w:tcPr>
          <w:p w14:paraId="0B683FC3">
            <w:pPr>
              <w:pStyle w:val="24"/>
            </w:pPr>
            <w:r>
              <w:t>10</w:t>
            </w:r>
          </w:p>
        </w:tc>
        <w:tc>
          <w:tcPr>
            <w:tcW w:w="1167" w:type="pct"/>
          </w:tcPr>
          <w:p w14:paraId="6400360E">
            <w:pPr>
              <w:pStyle w:val="24"/>
            </w:pPr>
            <w:r>
              <w:rPr>
                <w:rFonts w:hint="eastAsia"/>
              </w:rPr>
              <w:t>启动条件</w:t>
            </w:r>
          </w:p>
        </w:tc>
        <w:tc>
          <w:p w14:paraId="72C53F85">
            <w:pPr>
              <w:pStyle w:val="24"/>
            </w:pPr>
            <w:r>
              <w:rPr>
                <w:rFonts w:hint="eastAsia"/>
              </w:rPr>
              <w:t>预付款到账后</w:t>
            </w:r>
            <w:r>
              <w:t xml:space="preserve"> ______ </w:t>
            </w:r>
            <w:r>
              <w:rPr>
                <w:rFonts w:hint="eastAsia"/>
              </w:rPr>
              <w:t>个工作日内启动</w:t>
            </w:r>
          </w:p>
        </w:tc>
      </w:tr>
      <w:tr w14:paraId="258D6842">
        <w:tc>
          <w:tcPr>
            <w:tcW w:w="383" w:type="pct"/>
          </w:tcPr>
          <w:p w14:paraId="36C93EC7">
            <w:pPr>
              <w:pStyle w:val="24"/>
            </w:pPr>
            <w:r>
              <w:t>11</w:t>
            </w:r>
          </w:p>
        </w:tc>
        <w:tc>
          <w:tcPr>
            <w:tcW w:w="1167" w:type="pct"/>
          </w:tcPr>
          <w:p w14:paraId="738C95B7">
            <w:pPr>
              <w:pStyle w:val="24"/>
            </w:pPr>
            <w:r>
              <w:rPr>
                <w:rFonts w:hint="eastAsia"/>
              </w:rPr>
              <w:t>合同范围</w:t>
            </w:r>
          </w:p>
        </w:tc>
        <w:tc>
          <w:p w14:paraId="064D6CDF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确认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仅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Web、仅手动输入，USD</w:t>
            </w:r>
            <w:r>
              <w:rPr>
                <w:b/>
                <w:bCs/>
              </w:rPr>
              <w:t xml:space="preserve"> 10,000 / 100 </w:t>
            </w:r>
            <w:r>
              <w:rPr>
                <w:rFonts w:hint="eastAsia"/>
                <w:b/>
                <w:bCs/>
              </w:rPr>
              <w:t>人时</w:t>
            </w:r>
          </w:p>
        </w:tc>
      </w:tr>
      <w:tr w14:paraId="646A5660">
        <w:tc>
          <w:tcPr>
            <w:tcW w:w="383" w:type="pct"/>
          </w:tcPr>
          <w:p w14:paraId="4A76CA68">
            <w:pPr>
              <w:pStyle w:val="24"/>
            </w:pPr>
            <w:r>
              <w:t>12</w:t>
            </w:r>
          </w:p>
        </w:tc>
        <w:tc>
          <w:tcPr>
            <w:tcW w:w="1167" w:type="pct"/>
          </w:tcPr>
          <w:p w14:paraId="4F0DAC2A">
            <w:pPr>
              <w:pStyle w:val="24"/>
            </w:pPr>
            <w:r>
              <w:rPr>
                <w:rFonts w:hint="eastAsia"/>
              </w:rPr>
              <w:t>输入方式</w:t>
            </w:r>
          </w:p>
        </w:tc>
        <w:tc>
          <w:p w14:paraId="7E37CFA7">
            <w:pPr>
              <w:pStyle w:val="24"/>
            </w:pPr>
            <w:r>
              <w:t xml:space="preserve">☐ </w:t>
            </w:r>
            <w:r>
              <w:rPr>
                <w:rFonts w:hint="eastAsia"/>
              </w:rPr>
              <w:t>确认</w:t>
            </w:r>
            <w:r>
              <w:rPr>
                <w:rFonts w:hint="eastAsia"/>
                <w:b/>
                <w:bCs/>
              </w:rPr>
              <w:t>不含</w:t>
            </w:r>
            <w:r>
              <w:rPr>
                <w:rFonts w:hint="eastAsia"/>
              </w:rPr>
              <w:t>扫码与拍照识别（已纳入</w:t>
            </w:r>
            <w:r>
              <w:t xml:space="preserve"> v3.0 </w:t>
            </w:r>
            <w:r>
              <w:rPr>
                <w:rFonts w:hint="eastAsia"/>
              </w:rPr>
              <w:t>范围）</w:t>
            </w:r>
          </w:p>
        </w:tc>
      </w:tr>
    </w:tbl>
    <w:p w14:paraId="3A82854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08403441">
      <w:pPr>
        <w:pStyle w:val="4"/>
      </w:pPr>
      <w:bookmarkStart w:id="12" w:name="七工时与报价汇总"/>
      <w:r>
        <w:rPr>
          <w:rFonts w:hint="eastAsia"/>
        </w:rPr>
        <w:t>七、工时与报价汇总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3977"/>
        <w:gridCol w:w="1265"/>
        <w:gridCol w:w="1808"/>
        <w:gridCol w:w="723"/>
      </w:tblGrid>
      <w:tr w14:paraId="3A2761CE">
        <w:trPr>
          <w:tblHeader/>
        </w:trPr>
        <w:tc>
          <w:p w14:paraId="3C74C01B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p w14:paraId="65998C4C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  <w:tc>
          <w:p w14:paraId="6490B075">
            <w:pPr>
              <w:pStyle w:val="24"/>
            </w:pPr>
            <w:r>
              <w:rPr>
                <w:rFonts w:hint="eastAsia"/>
              </w:rPr>
              <w:t>工时</w:t>
            </w:r>
          </w:p>
        </w:tc>
        <w:tc>
          <w:p w14:paraId="4F212F1D">
            <w:pPr>
              <w:pStyle w:val="24"/>
            </w:pPr>
            <w:r>
              <w:rPr>
                <w:rFonts w:hint="eastAsia"/>
              </w:rPr>
              <w:t>金额（USD）</w:t>
            </w:r>
          </w:p>
        </w:tc>
        <w:tc>
          <w:p w14:paraId="5F728E30">
            <w:pPr>
              <w:pStyle w:val="24"/>
            </w:pPr>
            <w:r>
              <w:rPr>
                <w:rFonts w:hint="eastAsia"/>
              </w:rPr>
              <w:t>确认</w:t>
            </w:r>
            <w:r>
              <w:t xml:space="preserve"> ☐</w:t>
            </w:r>
          </w:p>
        </w:tc>
      </w:tr>
      <w:tr w14:paraId="596D6C38">
        <w:tc>
          <w:p w14:paraId="654F83E0">
            <w:pPr>
              <w:pStyle w:val="24"/>
            </w:pPr>
            <w:r>
              <w:rPr>
                <w:rFonts w:hint="eastAsia"/>
              </w:rPr>
              <w:t>阶段一</w:t>
            </w:r>
          </w:p>
        </w:tc>
        <w:tc>
          <w:p w14:paraId="513C30ED">
            <w:pPr>
              <w:pStyle w:val="24"/>
            </w:pPr>
            <w:r>
              <w:rPr>
                <w:rFonts w:hint="eastAsia"/>
              </w:rPr>
              <w:t>MVP（手动输入</w:t>
            </w:r>
            <w:r>
              <w:t xml:space="preserve"> + </w:t>
            </w:r>
            <w:r>
              <w:rPr>
                <w:rFonts w:hint="eastAsia"/>
              </w:rPr>
              <w:t>核心通知）</w:t>
            </w:r>
          </w:p>
        </w:tc>
        <w:tc>
          <w:p w14:paraId="2F92A1D2">
            <w:pPr>
              <w:pStyle w:val="24"/>
            </w:pPr>
            <w:r>
              <w:t>65</w:t>
            </w:r>
          </w:p>
        </w:tc>
        <w:tc>
          <w:p w14:paraId="526DD887">
            <w:pPr>
              <w:pStyle w:val="24"/>
            </w:pPr>
            <w:r>
              <w:t>6,500</w:t>
            </w:r>
          </w:p>
        </w:tc>
        <w:tc>
          <w:p w14:paraId="14985E97">
            <w:pPr>
              <w:pStyle w:val="24"/>
            </w:pPr>
          </w:p>
        </w:tc>
      </w:tr>
      <w:tr w14:paraId="528C334A">
        <w:tc>
          <w:p w14:paraId="70E843E2">
            <w:pPr>
              <w:pStyle w:val="24"/>
            </w:pPr>
            <w:r>
              <w:rPr>
                <w:rFonts w:hint="eastAsia"/>
              </w:rPr>
              <w:t>阶段二</w:t>
            </w:r>
          </w:p>
        </w:tc>
        <w:tc>
          <w:p w14:paraId="6B46A19F">
            <w:pPr>
              <w:pStyle w:val="24"/>
            </w:pPr>
            <w:r>
              <w:rPr>
                <w:rFonts w:hint="eastAsia"/>
              </w:rPr>
              <w:t>完整</w:t>
            </w:r>
            <w:r>
              <w:t xml:space="preserve"> </w:t>
            </w:r>
            <w:r>
              <w:rPr>
                <w:rFonts w:hint="eastAsia"/>
              </w:rPr>
              <w:t>Web（短信、家庭药箱等；仍手动输入）</w:t>
            </w:r>
          </w:p>
        </w:tc>
        <w:tc>
          <w:p w14:paraId="3E84BA55">
            <w:pPr>
              <w:pStyle w:val="24"/>
            </w:pPr>
            <w:r>
              <w:t>35</w:t>
            </w:r>
          </w:p>
        </w:tc>
        <w:tc>
          <w:p w14:paraId="279695C3">
            <w:pPr>
              <w:pStyle w:val="24"/>
            </w:pPr>
            <w:r>
              <w:t>3,500</w:t>
            </w:r>
          </w:p>
        </w:tc>
        <w:tc>
          <w:p w14:paraId="3CB9061F">
            <w:pPr>
              <w:pStyle w:val="24"/>
            </w:pPr>
          </w:p>
        </w:tc>
      </w:tr>
      <w:tr w14:paraId="6B1472B3">
        <w:tc>
          <w:p w14:paraId="695FFEA1">
            <w:pPr>
              <w:pStyle w:val="24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p w14:paraId="2BE53BBB">
            <w:pPr>
              <w:pStyle w:val="24"/>
            </w:pPr>
            <w:r>
              <w:rPr>
                <w:b/>
                <w:bCs/>
              </w:rPr>
              <w:t xml:space="preserve">Web </w:t>
            </w:r>
            <w:r>
              <w:rPr>
                <w:rFonts w:hint="eastAsia"/>
                <w:b/>
                <w:bCs/>
              </w:rPr>
              <w:t>产品</w:t>
            </w:r>
          </w:p>
        </w:tc>
        <w:tc>
          <w:p w14:paraId="542384B0">
            <w:pPr>
              <w:pStyle w:val="24"/>
            </w:pPr>
            <w:r>
              <w:rPr>
                <w:b/>
                <w:bCs/>
              </w:rPr>
              <w:t>100</w:t>
            </w:r>
          </w:p>
        </w:tc>
        <w:tc>
          <w:p w14:paraId="2B7CD030">
            <w:pPr>
              <w:pStyle w:val="24"/>
            </w:pPr>
            <w:r>
              <w:rPr>
                <w:b/>
                <w:bCs/>
              </w:rPr>
              <w:t>10,000</w:t>
            </w:r>
          </w:p>
        </w:tc>
        <w:tc>
          <w:p w14:paraId="692AF491">
            <w:pPr>
              <w:pStyle w:val="24"/>
            </w:pPr>
          </w:p>
        </w:tc>
      </w:tr>
    </w:tbl>
    <w:p w14:paraId="39CC034A">
      <w:pPr>
        <w:pStyle w:val="24"/>
        <w:numPr>
          <w:ilvl w:val="0"/>
          <w:numId w:val="1"/>
        </w:numPr>
      </w:pPr>
      <w:r>
        <w:rPr>
          <w:rFonts w:hint="eastAsia"/>
        </w:rPr>
        <w:t>单价：</w:t>
      </w:r>
      <w:r>
        <w:rPr>
          <w:b/>
          <w:bCs/>
        </w:rPr>
        <w:t xml:space="preserve">USD 100 / </w:t>
      </w:r>
      <w:r>
        <w:rPr>
          <w:rFonts w:hint="eastAsia"/>
          <w:b/>
          <w:bCs/>
        </w:rPr>
        <w:t>人时</w:t>
      </w:r>
      <w:r>
        <w:br w:type="textWrapping"/>
      </w:r>
    </w:p>
    <w:p w14:paraId="009B8129">
      <w:pPr>
        <w:pStyle w:val="24"/>
        <w:numPr>
          <w:ilvl w:val="0"/>
          <w:numId w:val="1"/>
        </w:numPr>
      </w:pPr>
      <w:r>
        <w:rPr>
          <w:rFonts w:hint="eastAsia"/>
        </w:rPr>
        <w:t>总价：</w:t>
      </w:r>
      <w:r>
        <w:rPr>
          <w:b/>
          <w:bCs/>
        </w:rPr>
        <w:t>USD 10,000</w:t>
      </w:r>
      <w:r>
        <w:rPr>
          <w:rFonts w:hint="eastAsia"/>
        </w:rPr>
        <w:t>（固定价；范围以本文档为准，变更另议）</w:t>
      </w:r>
    </w:p>
    <w:p w14:paraId="06C600D7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0E28C945">
      <w:pPr>
        <w:pStyle w:val="4"/>
      </w:pPr>
      <w:bookmarkStart w:id="13" w:name="八付款与里程碑建议可选"/>
      <w:r>
        <w:rPr>
          <w:rFonts w:hint="eastAsia"/>
        </w:rPr>
        <w:t>八、付款与里程碑建议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8"/>
        <w:gridCol w:w="3422"/>
        <w:gridCol w:w="805"/>
        <w:gridCol w:w="1811"/>
      </w:tblGrid>
      <w:tr w14:paraId="6ED2E826">
        <w:trPr>
          <w:tblHeader/>
        </w:trPr>
        <w:tc>
          <w:p w14:paraId="1D905E50">
            <w:pPr>
              <w:pStyle w:val="24"/>
            </w:pPr>
            <w:r>
              <w:rPr>
                <w:rFonts w:hint="eastAsia"/>
              </w:rPr>
              <w:t>里程碑</w:t>
            </w:r>
          </w:p>
        </w:tc>
        <w:tc>
          <w:p w14:paraId="51AC2D2C">
            <w:pPr>
              <w:pStyle w:val="24"/>
            </w:pPr>
            <w:r>
              <w:rPr>
                <w:rFonts w:hint="eastAsia"/>
              </w:rPr>
              <w:t>交付物</w:t>
            </w:r>
          </w:p>
        </w:tc>
        <w:tc>
          <w:p w14:paraId="049440BB">
            <w:pPr>
              <w:pStyle w:val="24"/>
            </w:pPr>
            <w:r>
              <w:rPr>
                <w:rFonts w:hint="eastAsia"/>
              </w:rPr>
              <w:t>建议比例</w:t>
            </w:r>
          </w:p>
        </w:tc>
        <w:tc>
          <w:p w14:paraId="475FA4C2">
            <w:pPr>
              <w:pStyle w:val="24"/>
            </w:pPr>
            <w:r>
              <w:rPr>
                <w:rFonts w:hint="eastAsia"/>
              </w:rPr>
              <w:t>参考金额（USD）</w:t>
            </w:r>
          </w:p>
        </w:tc>
      </w:tr>
      <w:tr w14:paraId="6FD71B17">
        <w:tc>
          <w:p w14:paraId="59E5BDC7">
            <w:pPr>
              <w:pStyle w:val="24"/>
            </w:pPr>
            <w:r>
              <w:rPr>
                <w:rFonts w:hint="eastAsia"/>
              </w:rPr>
              <w:t>合同签署</w:t>
            </w:r>
            <w:r>
              <w:t xml:space="preserve"> + </w:t>
            </w:r>
            <w:r>
              <w:rPr>
                <w:rFonts w:hint="eastAsia"/>
              </w:rPr>
              <w:t>预付款</w:t>
            </w:r>
          </w:p>
        </w:tc>
        <w:tc>
          <w:p w14:paraId="42EC0DDA">
            <w:pPr>
              <w:pStyle w:val="24"/>
            </w:pPr>
            <w:r>
              <w:rPr>
                <w:rFonts w:hint="eastAsia"/>
              </w:rPr>
              <w:t>确认版文档</w:t>
            </w:r>
            <w:r>
              <w:t xml:space="preserve"> + </w:t>
            </w:r>
            <w:r>
              <w:rPr>
                <w:rFonts w:hint="eastAsia"/>
              </w:rPr>
              <w:t>项目计划</w:t>
            </w:r>
          </w:p>
        </w:tc>
        <w:tc>
          <w:p w14:paraId="3B4ED6ED">
            <w:pPr>
              <w:pStyle w:val="24"/>
            </w:pPr>
            <w:r>
              <w:t>30%</w:t>
            </w:r>
          </w:p>
        </w:tc>
        <w:tc>
          <w:p w14:paraId="2ACA7BF8">
            <w:pPr>
              <w:pStyle w:val="24"/>
            </w:pPr>
            <w:r>
              <w:t>3,000</w:t>
            </w:r>
          </w:p>
        </w:tc>
      </w:tr>
      <w:tr w14:paraId="536FE818">
        <w:tc>
          <w:p w14:paraId="5B0EFBF8">
            <w:pPr>
              <w:pStyle w:val="24"/>
            </w:pPr>
            <w:r>
              <w:rPr>
                <w:rFonts w:hint="eastAsia"/>
                <w:b/>
                <w:bCs/>
              </w:rPr>
              <w:t>阶段一</w:t>
            </w:r>
            <w:r>
              <w:rPr>
                <w:b/>
                <w:bCs/>
              </w:rPr>
              <w:t xml:space="preserve"> MVP </w:t>
            </w:r>
            <w:r>
              <w:rPr>
                <w:rFonts w:hint="eastAsia"/>
                <w:b/>
                <w:bCs/>
              </w:rPr>
              <w:t>验收</w:t>
            </w:r>
          </w:p>
        </w:tc>
        <w:tc>
          <w:p w14:paraId="294085A0">
            <w:pPr>
              <w:pStyle w:val="24"/>
            </w:pPr>
            <w:r>
              <w:rPr>
                <w:rFonts w:hint="eastAsia"/>
              </w:rPr>
              <w:t>第三节清单通过</w:t>
            </w:r>
          </w:p>
        </w:tc>
        <w:tc>
          <w:p w14:paraId="0ED2F00C">
            <w:pPr>
              <w:pStyle w:val="24"/>
            </w:pPr>
            <w:r>
              <w:t>40%</w:t>
            </w:r>
          </w:p>
        </w:tc>
        <w:tc>
          <w:p w14:paraId="135D03CA">
            <w:pPr>
              <w:pStyle w:val="24"/>
            </w:pPr>
            <w:r>
              <w:t>4,000</w:t>
            </w:r>
          </w:p>
        </w:tc>
      </w:tr>
      <w:tr w14:paraId="31A8F7B7">
        <w:tc>
          <w:p w14:paraId="742FCB53">
            <w:pPr>
              <w:pStyle w:val="24"/>
            </w:pPr>
            <w:r>
              <w:rPr>
                <w:rFonts w:hint="eastAsia"/>
                <w:b/>
                <w:bCs/>
              </w:rPr>
              <w:t>阶段二最终验收</w:t>
            </w:r>
          </w:p>
        </w:tc>
        <w:tc>
          <w:p w14:paraId="1960345B">
            <w:pPr>
              <w:pStyle w:val="24"/>
            </w:pPr>
            <w:r>
              <w:rPr>
                <w:rFonts w:hint="eastAsia"/>
              </w:rPr>
              <w:t>第四节清单通过；完整</w:t>
            </w:r>
            <w:r>
              <w:t xml:space="preserve"> Web </w:t>
            </w:r>
            <w:r>
              <w:rPr>
                <w:rFonts w:hint="eastAsia"/>
              </w:rPr>
              <w:t>上线</w:t>
            </w:r>
          </w:p>
        </w:tc>
        <w:tc>
          <w:p w14:paraId="3C59588B">
            <w:pPr>
              <w:pStyle w:val="24"/>
            </w:pPr>
            <w:r>
              <w:t>30%</w:t>
            </w:r>
          </w:p>
        </w:tc>
        <w:tc>
          <w:p w14:paraId="2EC23D14">
            <w:pPr>
              <w:pStyle w:val="24"/>
            </w:pPr>
            <w:r>
              <w:t>3,000</w:t>
            </w:r>
          </w:p>
        </w:tc>
      </w:tr>
    </w:tbl>
    <w:p w14:paraId="66E4D8F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7CCF0624">
      <w:pPr>
        <w:pStyle w:val="4"/>
      </w:pPr>
      <w:bookmarkStart w:id="14" w:name="九变更与免责"/>
      <w:r>
        <w:rPr>
          <w:rFonts w:hint="eastAsia"/>
        </w:rPr>
        <w:t>九、变更与免责</w:t>
      </w:r>
    </w:p>
    <w:p w14:paraId="5971F86C">
      <w:pPr>
        <w:pStyle w:val="24"/>
        <w:numPr>
          <w:ilvl w:val="0"/>
          <w:numId w:val="3"/>
        </w:numPr>
      </w:pPr>
      <w:r>
        <w:rPr>
          <w:rFonts w:hint="eastAsia"/>
        </w:rPr>
        <w:t>以预付款到账及书面启动为准。</w:t>
      </w:r>
    </w:p>
    <w:p w14:paraId="0E075517">
      <w:pPr>
        <w:pStyle w:val="24"/>
        <w:numPr>
          <w:ilvl w:val="0"/>
          <w:numId w:val="3"/>
        </w:numPr>
      </w:pPr>
      <w:r>
        <w:rPr>
          <w:rFonts w:hint="eastAsia"/>
        </w:rPr>
        <w:t>本合同</w:t>
      </w:r>
      <w:r>
        <w:t xml:space="preserve"> = </w:t>
      </w:r>
      <w:r>
        <w:rPr>
          <w:b/>
          <w:bCs/>
        </w:rPr>
        <w:t xml:space="preserve">100 </w:t>
      </w:r>
      <w:r>
        <w:rPr>
          <w:rFonts w:hint="eastAsia"/>
          <w:b/>
          <w:bCs/>
        </w:rPr>
        <w:t>人时</w:t>
      </w:r>
      <w:r>
        <w:rPr>
          <w:b/>
          <w:bCs/>
        </w:rPr>
        <w:t xml:space="preserve"> Web</w:t>
      </w:r>
      <w:r>
        <w:rPr>
          <w:rFonts w:hint="eastAsia"/>
        </w:rPr>
        <w:t>，总价</w:t>
      </w:r>
      <w:r>
        <w:t xml:space="preserve"> </w:t>
      </w:r>
      <w:r>
        <w:rPr>
          <w:b/>
          <w:bCs/>
        </w:rPr>
        <w:t>USD 10,000</w:t>
      </w:r>
      <w:r>
        <w:rPr>
          <w:rFonts w:hint="eastAsia"/>
        </w:rPr>
        <w:t>；药品信息录入方式为</w:t>
      </w:r>
      <w:r>
        <w:rPr>
          <w:rFonts w:hint="eastAsia"/>
          <w:b/>
          <w:bCs/>
        </w:rPr>
        <w:t>手动输入</w:t>
      </w:r>
      <w:r>
        <w:rPr>
          <w:rFonts w:hint="eastAsia"/>
        </w:rPr>
        <w:t>，不含扫码与拍照识别，除非另行书面约定并调整报价。</w:t>
      </w:r>
    </w:p>
    <w:p w14:paraId="1677ADD5">
      <w:pPr>
        <w:pStyle w:val="24"/>
        <w:numPr>
          <w:ilvl w:val="0"/>
          <w:numId w:val="3"/>
        </w:numPr>
      </w:pPr>
      <w:r>
        <w:rPr>
          <w:rFonts w:hint="eastAsia"/>
        </w:rPr>
        <w:t>签字后变更须书面确认补充工时与费用。</w:t>
      </w:r>
    </w:p>
    <w:p w14:paraId="662A393F">
      <w:pPr>
        <w:pStyle w:val="24"/>
        <w:numPr>
          <w:ilvl w:val="0"/>
          <w:numId w:val="3"/>
        </w:numPr>
      </w:pPr>
      <w:r>
        <w:t xml:space="preserve">FDA </w:t>
      </w:r>
      <w:r>
        <w:rPr>
          <w:rFonts w:hint="eastAsia"/>
        </w:rPr>
        <w:t>数据依赖第三方公开接口。</w:t>
      </w:r>
    </w:p>
    <w:p w14:paraId="2AC525E9">
      <w:pPr>
        <w:pStyle w:val="24"/>
        <w:numPr>
          <w:ilvl w:val="0"/>
          <w:numId w:val="3"/>
        </w:numPr>
      </w:pPr>
      <w:r>
        <w:rPr>
          <w:rFonts w:hint="eastAsia"/>
        </w:rPr>
        <w:t>法律效力以主合同为准。</w:t>
      </w:r>
    </w:p>
    <w:p w14:paraId="6F89E5DB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59E3FF76">
      <w:pPr>
        <w:pStyle w:val="4"/>
      </w:pPr>
      <w:bookmarkStart w:id="15" w:name="十确认签字"/>
      <w:r>
        <w:rPr>
          <w:rFonts w:hint="eastAsia"/>
        </w:rPr>
        <w:t>十、确认签字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656"/>
        <w:gridCol w:w="1896"/>
      </w:tblGrid>
      <w:tr w14:paraId="471968F2">
        <w:trPr>
          <w:tblHeader/>
        </w:trPr>
        <w:tc>
          <w:p w14:paraId="0DFAAA21">
            <w:pPr>
              <w:pStyle w:val="24"/>
            </w:pPr>
          </w:p>
        </w:tc>
        <w:tc>
          <w:p w14:paraId="6714071B">
            <w:pPr>
              <w:pStyle w:val="24"/>
            </w:pPr>
            <w:r>
              <w:rPr>
                <w:rFonts w:hint="eastAsia"/>
              </w:rPr>
              <w:t>客户（甲方）</w:t>
            </w:r>
          </w:p>
        </w:tc>
        <w:tc>
          <w:p w14:paraId="4C1B7E3F">
            <w:pPr>
              <w:pStyle w:val="24"/>
            </w:pPr>
            <w:r>
              <w:rPr>
                <w:rFonts w:hint="eastAsia"/>
              </w:rPr>
              <w:t>开发方（乙方）</w:t>
            </w:r>
          </w:p>
        </w:tc>
      </w:tr>
      <w:tr w14:paraId="796275A5">
        <w:tc>
          <w:p w14:paraId="54E406D7">
            <w:pPr>
              <w:pStyle w:val="24"/>
            </w:pPr>
            <w:r>
              <w:rPr>
                <w:rFonts w:hint="eastAsia"/>
              </w:rPr>
              <w:t>公司名称</w:t>
            </w:r>
          </w:p>
        </w:tc>
        <w:tc>
          <w:p w14:paraId="6771662B">
            <w:pPr>
              <w:pStyle w:val="24"/>
            </w:pPr>
          </w:p>
        </w:tc>
        <w:tc>
          <w:p w14:paraId="57E1103D">
            <w:pPr>
              <w:pStyle w:val="24"/>
            </w:pPr>
          </w:p>
        </w:tc>
      </w:tr>
      <w:tr w14:paraId="13F86975">
        <w:tc>
          <w:p w14:paraId="6B8A53D7">
            <w:pPr>
              <w:pStyle w:val="24"/>
            </w:pPr>
            <w:r>
              <w:rPr>
                <w:rFonts w:hint="eastAsia"/>
              </w:rPr>
              <w:t>授权代表</w:t>
            </w:r>
          </w:p>
        </w:tc>
        <w:tc>
          <w:p w14:paraId="14C9A0EA">
            <w:pPr>
              <w:pStyle w:val="24"/>
            </w:pPr>
          </w:p>
        </w:tc>
        <w:tc>
          <w:p w14:paraId="5357DC99">
            <w:pPr>
              <w:pStyle w:val="24"/>
            </w:pPr>
          </w:p>
        </w:tc>
      </w:tr>
      <w:tr w14:paraId="062F46C9">
        <w:tc>
          <w:p w14:paraId="3B329AB3">
            <w:pPr>
              <w:pStyle w:val="24"/>
            </w:pPr>
            <w:r>
              <w:rPr>
                <w:rFonts w:hint="eastAsia"/>
              </w:rPr>
              <w:t>签字</w:t>
            </w:r>
          </w:p>
        </w:tc>
        <w:tc>
          <w:p w14:paraId="3A593ECD">
            <w:pPr>
              <w:pStyle w:val="24"/>
            </w:pPr>
          </w:p>
        </w:tc>
        <w:tc>
          <w:p w14:paraId="0B5F71E0">
            <w:pPr>
              <w:pStyle w:val="24"/>
            </w:pPr>
          </w:p>
        </w:tc>
      </w:tr>
      <w:tr w14:paraId="757A5602">
        <w:tc>
          <w:p w14:paraId="200972D7">
            <w:pPr>
              <w:pStyle w:val="24"/>
            </w:pPr>
            <w:r>
              <w:rPr>
                <w:rFonts w:hint="eastAsia"/>
              </w:rPr>
              <w:t>日期</w:t>
            </w:r>
          </w:p>
        </w:tc>
        <w:tc>
          <w:p w14:paraId="56679F83">
            <w:pPr>
              <w:pStyle w:val="24"/>
            </w:pPr>
          </w:p>
        </w:tc>
        <w:tc>
          <w:p w14:paraId="3B082667">
            <w:pPr>
              <w:pStyle w:val="24"/>
            </w:pPr>
          </w:p>
        </w:tc>
      </w:tr>
    </w:tbl>
    <w:p w14:paraId="1609C8D8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03E74D70">
      <w:pPr>
        <w:pStyle w:val="4"/>
      </w:pPr>
      <w:bookmarkStart w:id="16" w:name="附录-a待讨论事项会议对齐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A：待讨论事项（会议对齐）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"/>
        <w:gridCol w:w="4359"/>
      </w:tblGrid>
      <w:tr w14:paraId="7838F092">
        <w:trPr>
          <w:tblHeader/>
        </w:trPr>
        <w:tc>
          <w:p w14:paraId="0F4B7868">
            <w:pPr>
              <w:pStyle w:val="24"/>
            </w:pPr>
            <w:r>
              <w:t>#</w:t>
            </w:r>
          </w:p>
        </w:tc>
        <w:tc>
          <w:p w14:paraId="36730F25">
            <w:pPr>
              <w:pStyle w:val="24"/>
            </w:pPr>
            <w:r>
              <w:rPr>
                <w:rFonts w:hint="eastAsia"/>
              </w:rPr>
              <w:t>议题</w:t>
            </w:r>
          </w:p>
        </w:tc>
      </w:tr>
      <w:tr w14:paraId="0024197E">
        <w:tc>
          <w:p w14:paraId="18E35BD0">
            <w:pPr>
              <w:pStyle w:val="24"/>
            </w:pPr>
            <w:r>
              <w:t>1</w:t>
            </w:r>
          </w:p>
        </w:tc>
        <w:tc>
          <w:p w14:paraId="7CF19959">
            <w:pPr>
              <w:pStyle w:val="24"/>
            </w:pPr>
            <w:r>
              <w:rPr>
                <w:rFonts w:hint="eastAsia"/>
              </w:rPr>
              <w:t>厂商变更或</w:t>
            </w:r>
            <w:r>
              <w:t xml:space="preserve"> NDC </w:t>
            </w:r>
            <w:r>
              <w:rPr>
                <w:rFonts w:hint="eastAsia"/>
              </w:rPr>
              <w:t>库无该厂商时的处理</w:t>
            </w:r>
          </w:p>
        </w:tc>
      </w:tr>
      <w:tr w14:paraId="2CA8AF7F">
        <w:tc>
          <w:p w14:paraId="22B4541C">
            <w:pPr>
              <w:pStyle w:val="24"/>
            </w:pPr>
            <w:r>
              <w:t>2</w:t>
            </w:r>
          </w:p>
        </w:tc>
        <w:tc>
          <w:p w14:paraId="182D7E15">
            <w:pPr>
              <w:pStyle w:val="24"/>
            </w:pPr>
            <w:r>
              <w:rPr>
                <w:rFonts w:hint="eastAsia"/>
              </w:rPr>
              <w:t>已「服用完毕」药品遇召回是否通知</w:t>
            </w:r>
          </w:p>
        </w:tc>
      </w:tr>
      <w:tr w14:paraId="1E76A093">
        <w:tc>
          <w:p w14:paraId="0983A0D0">
            <w:pPr>
              <w:pStyle w:val="24"/>
            </w:pPr>
            <w:r>
              <w:t>3</w:t>
            </w:r>
          </w:p>
        </w:tc>
        <w:tc>
          <w:p w14:paraId="2DB5D34D">
            <w:pPr>
              <w:pStyle w:val="24"/>
            </w:pPr>
            <w:r>
              <w:rPr>
                <w:rFonts w:hint="eastAsia"/>
              </w:rPr>
              <w:t>预计停药时间与停药后策略</w:t>
            </w:r>
          </w:p>
        </w:tc>
      </w:tr>
      <w:tr w14:paraId="6978FC0C">
        <w:tc>
          <w:p w14:paraId="6634DDF2">
            <w:pPr>
              <w:pStyle w:val="24"/>
            </w:pPr>
            <w:r>
              <w:t>4</w:t>
            </w:r>
          </w:p>
        </w:tc>
        <w:tc>
          <w:p w14:paraId="61ECDE7C">
            <w:pPr>
              <w:pStyle w:val="24"/>
            </w:pPr>
            <w:r>
              <w:rPr>
                <w:rFonts w:hint="eastAsia"/>
              </w:rPr>
              <w:t>药箱</w:t>
            </w:r>
            <w:r>
              <w:t xml:space="preserve"> </w:t>
            </w:r>
            <w:r>
              <w:rPr>
                <w:rFonts w:hint="eastAsia"/>
              </w:rPr>
              <w:t>UI：以药品为中心或以疗程为中心</w:t>
            </w:r>
          </w:p>
        </w:tc>
      </w:tr>
      <w:bookmarkEnd w:id="0"/>
      <w:bookmarkEnd w:id="16"/>
    </w:tbl>
    <w:p w14:paraId="38B837F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FFBC9F1"/>
    <w:rsid w:val="7C87B788"/>
    <w:rsid w:val="7FCFE3A5"/>
    <w:rsid w:val="EF7F8B62"/>
    <w:rsid w:val="FEDFBF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</Words>
  <Characters>475</Characters>
  <Lines>12</Lines>
  <Paragraphs>8</Paragraphs>
  <TotalTime>10</TotalTime>
  <ScaleCrop>false</ScaleCrop>
  <LinksUpToDate>false</LinksUpToDate>
  <CharactersWithSpaces>583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2026-05-20T16:11:00Z</dcterms:created>
  <dc:creator>Eunsoul</dc:creator>
  <cp:lastModifiedBy>Eunsoul</cp:lastModifiedBy>
  <dcterms:modified xsi:type="dcterms:W3CDTF">2026-05-20T17:20:53Z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42F9C8E273FB7F3D71320E6A40673809_42</vt:lpwstr>
  </property>
</Properties>
</file>