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Hockey League Goal Prediction</w:t>
      </w:r>
    </w:p>
    <w:p>
      <w:pPr>
        <w:pStyle w:val="Subtitle"/>
      </w:pPr>
      <w:r>
        <w:t>Modern Statistical and Machine Learning Approaches</w:t>
        <w:br/>
        <w:t>A Revision and Extension of the 2020 Undergraduate Honours Project</w:t>
      </w:r>
    </w:p>
    <w:p>
      <w:r>
        <w:t>Howard R. Silvey</w:t>
        <w:br/>
        <w:t>Research edition 0.1.0</w:t>
        <w:br/>
        <w:t>October 2, 2026</w:t>
      </w:r>
    </w:p>
    <w:p>
      <w:r>
        <w:t>Original honours project supervised by Dr. Jason Nielsen</w:t>
        <w:br/>
        <w:t>Carleton University School of Mathematics and Statistics</w:t>
        <w:br/>
        <w:t>Original submission April 7, 2020</w:t>
      </w:r>
    </w:p>
    <w:p>
      <w:r>
        <w:t>Independent 2026 research revision and extension. This edition is separate from the original university submission and does not imply institutional review or supervisor endorsement of the new analysis.</w:t>
      </w:r>
    </w:p>
    <w:p>
      <w:r>
        <w:t>Primary sharing format PDF</w:t>
        <w:br/>
        <w:t>Editable companion DOCX</w:t>
        <w:br/>
        <w:t>Repository github.com/howardsilvey7/nhl-goal-prediction</w:t>
      </w:r>
    </w:p>
    <w:p>
      <w:r>
        <w:br w:type="page"/>
      </w:r>
    </w:p>
    <w:p>
      <w:pPr>
        <w:pStyle w:val="Heading1"/>
      </w:pPr>
      <w:r>
        <w:t>Author preface</w:t>
      </w:r>
    </w:p>
    <w:p>
      <w:pPr>
        <w:keepLines/>
      </w:pPr>
      <w:r>
        <w:t>This revision returns to the paired-score forecasting idea proposed in my 2020 honours project. I preserve the original submission as an archival work and examine its limitations before introducing a separate game-level experiment. The aim is to improve the research design, report uncertainty honestly and make the computational analysis reproducible.</w:t>
      </w:r>
    </w:p>
    <w:p>
      <w:pPr>
        <w:keepLines/>
      </w:pPr>
      <w:r>
        <w:t>The 2020 project arose within an overloaded final-semester academic schedule. That context helps explain its limited scope but does not change the standards used to assess its statistical claims. The revision recognizes the original project’s useful diagnosis of its own aggregation problem and its anticipation of joint home and away goal modeling.</w:t>
      </w:r>
    </w:p>
    <w:p>
      <w:pPr>
        <w:keepLines/>
      </w:pPr>
      <w:r>
        <w:t>The present edition reports a completed first empirical comparison, not completion of every item in the broader research programme. Original source-code recovery, independent academic review, more extensive availability verification and advanced extensions remain open. All new numerical results belong to 2026, not to the 2020 submission.</w:t>
      </w:r>
    </w:p>
    <w:p>
      <w:pPr>
        <w:keepLines/>
      </w:pPr>
      <w:r>
        <w:t>Computational assistance from OpenAI Codex supported source inspection, software implementation, numerical checks and document preparation. Authorship remains Howard R. Silvey. Automated verification and software agreement do not substitute for independent scientific review.</w:t>
      </w:r>
    </w:p>
    <w:p>
      <w:pPr>
        <w:pStyle w:val="Heading1"/>
      </w:pPr>
      <w:r>
        <w:t>Abstract</w:t>
      </w:r>
    </w:p>
    <w:p>
      <w:pPr>
        <w:keepLines/>
      </w:pPr>
      <w:r>
        <w:t>The original NHL honours project used 123 team-season rows to address an individual-game scoring question. This revision audits that mismatch and conducts a separate retrospective forecasting study of 10,969 NHL regular-season games from 2016-17 through 2024-25. Paired regulation goals are reconstructed from MoneyPuck’s actual-goal counts and game duration; 54 stratified cases agree with official period scoring. One incomplete source record is excluded.</w:t>
      </w:r>
    </w:p>
    <w:p>
      <w:pPr>
        <w:keepLines/>
      </w:pPr>
      <w:r>
        <w:t>Nine baselines and model variants are compared using expanding temporal windows. Hyperparameter choices use the most recent training season as an inner validation period. Five outer development seasons determine the model family; the 2024-25 season is evaluated after configurations are frozen. Feature histories include only strictly earlier source calendar dates. Exact historical publication-time availability remains unverified.</w:t>
      </w:r>
    </w:p>
    <w:p>
      <w:pPr>
        <w:keepLines/>
      </w:pPr>
      <w:r>
        <w:t>The frozen bivariate-Poisson family is numerically tied with independent Poisson in development and estimates a zero shared component. On 1,312 holdout games, its joint negative log likelihood is 3.8553, compared with 3.8755 for the expanding league baseline. The paired calendar-week bootstrap difference is -0.0202, with a 95% interval [-0.0310, -0.0077]. Combined mean absolute error changes from 1.3923 to 1.3881 goals per team-game. A ridge model with Poisson margins has a slightly smaller holdout log score but does not replace the frozen family.</w:t>
      </w:r>
    </w:p>
    <w:p>
      <w:pPr>
        <w:keepLines/>
      </w:pPr>
      <w:r>
        <w:t>The evidence supports modest improvements in probabilistic forecasts from regularized recent-form predictors. It does not support a positive-dependence advantage or a large point-forecast gain. Original historical results are verified as reported, not computationally reproduced. The repository, editable manuscript and primary PDF preserve these distinctions.</w:t>
      </w:r>
    </w:p>
    <w:p>
      <w:pPr>
        <w:pStyle w:val="Heading1"/>
      </w:pPr>
      <w:r>
        <w:t>Contents</w:t>
      </w:r>
    </w:p>
    <w:p>
      <w:pPr>
        <w:keepLines/>
      </w:pPr>
      <w:r>
        <w:t>1 Introduction</w:t>
      </w:r>
    </w:p>
    <w:p>
      <w:pPr>
        <w:keepLines/>
      </w:pPr>
      <w:r>
        <w:t>2 The 2020 honours project and archival audit</w:t>
      </w:r>
    </w:p>
    <w:p>
      <w:pPr>
        <w:keepLines/>
      </w:pPr>
      <w:r>
        <w:t>3 Related research and statistical framework</w:t>
      </w:r>
    </w:p>
    <w:p>
      <w:pPr>
        <w:keepLines/>
      </w:pPr>
      <w:r>
        <w:t>4 Data and prediction contract</w:t>
      </w:r>
    </w:p>
    <w:p>
      <w:pPr>
        <w:keepLines/>
      </w:pPr>
      <w:r>
        <w:t>5 Temporal validation and methods</w:t>
      </w:r>
    </w:p>
    <w:p>
      <w:pPr>
        <w:keepLines/>
      </w:pPr>
      <w:r>
        <w:t>6 Development results</w:t>
      </w:r>
    </w:p>
    <w:p>
      <w:pPr>
        <w:keepLines/>
      </w:pPr>
      <w:r>
        <w:t>7 Frozen final holdout results</w:t>
      </w:r>
    </w:p>
    <w:p>
      <w:pPr>
        <w:keepLines/>
      </w:pPr>
      <w:r>
        <w:t>8 Calibration uncertainty and reproducibility</w:t>
      </w:r>
    </w:p>
    <w:p>
      <w:pPr>
        <w:keepLines/>
      </w:pPr>
      <w:r>
        <w:t>9 Discussion and limitations</w:t>
      </w:r>
    </w:p>
    <w:p>
      <w:pPr>
        <w:keepLines/>
      </w:pPr>
      <w:r>
        <w:t>10 Conclusion and remaining programme</w:t>
      </w:r>
    </w:p>
    <w:p>
      <w:pPr>
        <w:keepLines/>
      </w:pPr>
      <w:r>
        <w:t>References</w:t>
      </w:r>
    </w:p>
    <w:p>
      <w:pPr>
        <w:keepLines/>
      </w:pPr>
      <w:r>
        <w:t>Appendices</w:t>
      </w:r>
    </w:p>
    <w:p>
      <w:pPr>
        <w:keepLines/>
      </w:pPr>
      <w:r>
        <w:t>The PDF includes bookmarks for the chapter headings. Table and figure captions identify the numbered research outputs.</w:t>
      </w:r>
    </w:p>
    <w:p>
      <w:r>
        <w:br w:type="page"/>
      </w:r>
    </w:p>
    <w:p>
      <w:pPr>
        <w:pStyle w:val="Heading1"/>
      </w:pPr>
      <w:r>
        <w:t>1 Introduction</w:t>
      </w:r>
    </w:p>
    <w:p>
      <w:pPr>
        <w:keepLines/>
      </w:pPr>
      <w:r>
        <w:t>Forecasting hockey scores requires a distinction between describing a completed season and predicting a particular future game. A season scoring average summarizes a team’s realized performance; it does not directly identify the distribution of goals against an opponent on a given date. The two tasks have different units, information sets and validation requirements.</w:t>
      </w:r>
    </w:p>
    <w:p>
      <w:pPr>
        <w:keepLines/>
      </w:pPr>
      <w:r>
        <w:t>A useful pregame forecast should express the probabilities of possible home and away scores. Expected goals alone do not answer how likely a regulation draw is, how uncertain the total is or how much probability should be assigned to an unusual scoreline. A paired predictive distribution supports these quantities while making forecast uncertainty explicit.</w:t>
      </w:r>
    </w:p>
    <w:p>
      <w:pPr>
        <w:keepLines/>
      </w:pPr>
      <w:r>
        <w:t>The broad research question is which statistical or machine-learning framework most accurately and reliably estimates the joint distribution of future home and away goals using only information available before a game. The first experiment operationalizes that question with earlier calendar-date histories, a fixed set of practical models and a clearly separated final season.</w:t>
      </w:r>
    </w:p>
    <w:p>
      <w:pPr>
        <w:keepLines/>
      </w:pPr>
      <w:r>
        <w:t>The contributions are an archival methodological audit, a canonical paired-game pipeline, tests for temporal leakage, nested season-based model selection, proper probabilistic evaluation, a frozen holdout comparison and an independent base-R check of the Python Poisson fit. These contributions are complementary: none alone establishes a deployable forecasting system.</w:t>
      </w:r>
    </w:p>
    <w:p>
      <w:pPr>
        <w:keepLines/>
      </w:pPr>
      <w:r>
        <w:t>The study is predictive and retrospective. It does not estimate causal effects of shots, rest or team strength, and it does not study betting returns. Its scores assess the stated target and validation design, not general superiority across every NHL era or information source.</w:t>
      </w:r>
    </w:p>
    <w:p>
      <w:r>
        <w:br w:type="page"/>
      </w:r>
    </w:p>
    <w:p>
      <w:pPr>
        <w:pStyle w:val="Heading1"/>
      </w:pPr>
      <w:r>
        <w:t>2 The 2020 honours project and archival audit</w:t>
      </w:r>
    </w:p>
    <w:p>
      <w:pPr>
        <w:keepLines/>
      </w:pPr>
      <w:r>
        <w:t>The original project was submitted on April 7, 2020 under the title National Hockey League Data: Analysis and Prediction [1]. It considered ordinary multiple regression, forward selection, backward elimination, residual plots and leave-one-out cross-validation. Its stated interest was home-team game scoring and a later extension to a vector-valued home/away response.</w:t>
      </w:r>
    </w:p>
    <w:p>
      <w:pPr>
        <w:keepLines/>
      </w:pPr>
      <w:r>
        <w:t>Its effective estimation sample was 123 team-season records: 30 teams for 2016-17 and 31 for each of the following three seasons. Approximately 40 candidate columns produced roughly 4,920 table cells. The cells are not independent regression observations. The source’s cross-validation screenshot explicitly reports 123 samples and five predictors.</w:t>
      </w:r>
    </w:p>
    <w:p>
      <w:pPr>
        <w:keepLines/>
      </w:pPr>
      <w:r>
        <w:t>The model response was a season-level goals quantity, converted to a nominal per-game estimate by dividing a predicted total by 82. That division does not create opponent, venue or game-state information. The paper itself recognized clustered forecasts and recommended game-level modeling.</w:t>
      </w:r>
    </w:p>
    <w:p>
      <w:pPr>
        <w:keepLines/>
      </w:pPr>
      <w:r>
        <w:t>Several same-season candidate measures were contemporaneous with, or partly constructed from, the goal response. Shooting percentages, adjusted goals, high-danger goals, power-play performance, standings and save measures can be informative when lagged; when calculated over the target period they do not represent a historical pregame information set.</w:t>
      </w:r>
    </w:p>
    <w:p>
      <w:pPr>
        <w:keepLines/>
      </w:pPr>
      <w:r>
        <w:t>The original PDF survives locally and is preserved byte-for-byte in the archive. A targeted filename inventory of local University, Documents and Downloads materials found no original NHL R scripts or underlying team-season table. This search does not establish that every device, cloud location or archive lacks them. Exact reproduction remains unresolved; a new game-level study is not a substitute for the missing original inputs.</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2592"/>
            <w:shd w:fill="E7E7E7"/>
          </w:tcPr>
          <w:p>
            <w:pPr>
              <w:keepNext/>
              <w:spacing w:after="80" w:line="240" w:lineRule="auto"/>
            </w:pPr>
            <w:r>
              <w:rPr>
                <w:rFonts w:ascii="Times New Roman" w:hAnsi="Times New Roman"/>
                <w:b/>
                <w:color w:val="000000"/>
                <w:sz w:val="18"/>
              </w:rPr>
              <w:t>Historical quantity</w:t>
            </w:r>
          </w:p>
        </w:tc>
        <w:tc>
          <w:tcPr>
            <w:tcW w:type="dxa" w:w="1872"/>
            <w:shd w:fill="E7E7E7"/>
          </w:tcPr>
          <w:p>
            <w:pPr>
              <w:keepNext/>
              <w:spacing w:after="80" w:line="240" w:lineRule="auto"/>
            </w:pPr>
            <w:r>
              <w:rPr>
                <w:rFonts w:ascii="Times New Roman" w:hAnsi="Times New Roman"/>
                <w:b/>
                <w:color w:val="000000"/>
                <w:sz w:val="18"/>
              </w:rPr>
              <w:t>Reported value</w:t>
            </w:r>
          </w:p>
        </w:tc>
        <w:tc>
          <w:tcPr>
            <w:tcW w:type="dxa" w:w="5040"/>
            <w:shd w:fill="E7E7E7"/>
          </w:tcPr>
          <w:p>
            <w:pPr>
              <w:keepNext/>
              <w:spacing w:after="80" w:line="240" w:lineRule="auto"/>
            </w:pPr>
            <w:r>
              <w:rPr>
                <w:rFonts w:ascii="Times New Roman" w:hAnsi="Times New Roman"/>
                <w:b/>
                <w:color w:val="000000"/>
                <w:sz w:val="18"/>
              </w:rPr>
              <w:t>Evidence and status</w:t>
            </w:r>
          </w:p>
        </w:tc>
      </w:tr>
      <w:tr>
        <w:trPr>
          <w:cantSplit/>
        </w:trPr>
        <w:tc>
          <w:tcPr>
            <w:tcW w:type="dxa" w:w="2592"/>
          </w:tcPr>
          <w:p>
            <w:pPr>
              <w:keepNext/>
              <w:spacing w:after="80" w:line="240" w:lineRule="auto"/>
            </w:pPr>
            <w:r>
              <w:rPr>
                <w:rFonts w:ascii="Times New Roman" w:hAnsi="Times New Roman"/>
                <w:color w:val="000000"/>
                <w:sz w:val="18"/>
              </w:rPr>
              <w:t>Regression sample</w:t>
            </w:r>
          </w:p>
        </w:tc>
        <w:tc>
          <w:tcPr>
            <w:tcW w:type="dxa" w:w="1872"/>
          </w:tcPr>
          <w:p>
            <w:pPr>
              <w:keepNext/>
              <w:spacing w:after="80" w:line="240" w:lineRule="auto"/>
            </w:pPr>
            <w:r>
              <w:rPr>
                <w:rFonts w:ascii="Times New Roman" w:hAnsi="Times New Roman"/>
                <w:color w:val="000000"/>
                <w:sz w:val="18"/>
              </w:rPr>
              <w:t>123 team-seasons</w:t>
            </w:r>
          </w:p>
        </w:tc>
        <w:tc>
          <w:tcPr>
            <w:tcW w:type="dxa" w:w="5040"/>
          </w:tcPr>
          <w:p>
            <w:pPr>
              <w:keepNext/>
              <w:spacing w:after="80" w:line="240" w:lineRule="auto"/>
            </w:pPr>
            <w:r>
              <w:rPr>
                <w:rFonts w:ascii="Times New Roman" w:hAnsi="Times New Roman"/>
                <w:color w:val="000000"/>
                <w:sz w:val="18"/>
              </w:rPr>
              <w:t>PDF physical pages 17 and 39; source-verified</w:t>
            </w:r>
          </w:p>
        </w:tc>
      </w:tr>
      <w:tr>
        <w:trPr>
          <w:cantSplit/>
        </w:trPr>
        <w:tc>
          <w:tcPr>
            <w:tcW w:type="dxa" w:w="2592"/>
          </w:tcPr>
          <w:p>
            <w:pPr>
              <w:keepNext/>
              <w:spacing w:after="80" w:line="240" w:lineRule="auto"/>
            </w:pPr>
            <w:r>
              <w:rPr>
                <w:rFonts w:ascii="Times New Roman" w:hAnsi="Times New Roman"/>
                <w:color w:val="000000"/>
                <w:sz w:val="18"/>
              </w:rPr>
              <w:t>Backward model R squared</w:t>
            </w:r>
          </w:p>
        </w:tc>
        <w:tc>
          <w:tcPr>
            <w:tcW w:type="dxa" w:w="1872"/>
          </w:tcPr>
          <w:p>
            <w:pPr>
              <w:keepNext/>
              <w:spacing w:after="80" w:line="240" w:lineRule="auto"/>
            </w:pPr>
            <w:r>
              <w:rPr>
                <w:rFonts w:ascii="Times New Roman" w:hAnsi="Times New Roman"/>
                <w:color w:val="000000"/>
                <w:sz w:val="18"/>
              </w:rPr>
              <w:t>0.1161</w:t>
            </w:r>
          </w:p>
        </w:tc>
        <w:tc>
          <w:tcPr>
            <w:tcW w:type="dxa" w:w="5040"/>
          </w:tcPr>
          <w:p>
            <w:pPr>
              <w:keepNext/>
              <w:spacing w:after="80" w:line="240" w:lineRule="auto"/>
            </w:pPr>
            <w:r>
              <w:rPr>
                <w:rFonts w:ascii="Times New Roman" w:hAnsi="Times New Roman"/>
                <w:color w:val="000000"/>
                <w:sz w:val="18"/>
              </w:rPr>
              <w:t>PDF physical pages 28 and 32; source-verified</w:t>
            </w:r>
          </w:p>
        </w:tc>
      </w:tr>
      <w:tr>
        <w:trPr>
          <w:cantSplit/>
        </w:trPr>
        <w:tc>
          <w:tcPr>
            <w:tcW w:type="dxa" w:w="2592"/>
          </w:tcPr>
          <w:p>
            <w:pPr>
              <w:keepNext/>
              <w:spacing w:after="80" w:line="240" w:lineRule="auto"/>
            </w:pPr>
            <w:r>
              <w:rPr>
                <w:rFonts w:ascii="Times New Roman" w:hAnsi="Times New Roman"/>
                <w:color w:val="000000"/>
                <w:sz w:val="18"/>
              </w:rPr>
              <w:t>Forward model R squared</w:t>
            </w:r>
          </w:p>
        </w:tc>
        <w:tc>
          <w:tcPr>
            <w:tcW w:type="dxa" w:w="1872"/>
          </w:tcPr>
          <w:p>
            <w:pPr>
              <w:keepNext/>
              <w:spacing w:after="80" w:line="240" w:lineRule="auto"/>
            </w:pPr>
            <w:r>
              <w:rPr>
                <w:rFonts w:ascii="Times New Roman" w:hAnsi="Times New Roman"/>
                <w:color w:val="000000"/>
                <w:sz w:val="18"/>
              </w:rPr>
              <w:t>0.06451</w:t>
            </w:r>
          </w:p>
        </w:tc>
        <w:tc>
          <w:tcPr>
            <w:tcW w:type="dxa" w:w="5040"/>
          </w:tcPr>
          <w:p>
            <w:pPr>
              <w:keepNext/>
              <w:spacing w:after="80" w:line="240" w:lineRule="auto"/>
            </w:pPr>
            <w:r>
              <w:rPr>
                <w:rFonts w:ascii="Times New Roman" w:hAnsi="Times New Roman"/>
                <w:color w:val="000000"/>
                <w:sz w:val="18"/>
              </w:rPr>
              <w:t>PDF physical page 32; source-verified</w:t>
            </w:r>
          </w:p>
        </w:tc>
      </w:tr>
      <w:tr>
        <w:trPr>
          <w:cantSplit/>
        </w:trPr>
        <w:tc>
          <w:tcPr>
            <w:tcW w:type="dxa" w:w="2592"/>
          </w:tcPr>
          <w:p>
            <w:pPr>
              <w:keepNext/>
              <w:spacing w:after="80" w:line="240" w:lineRule="auto"/>
            </w:pPr>
            <w:r>
              <w:rPr>
                <w:rFonts w:ascii="Times New Roman" w:hAnsi="Times New Roman"/>
                <w:color w:val="000000"/>
                <w:sz w:val="18"/>
              </w:rPr>
              <w:t>LOOCV RMSE</w:t>
            </w:r>
          </w:p>
        </w:tc>
        <w:tc>
          <w:tcPr>
            <w:tcW w:type="dxa" w:w="1872"/>
          </w:tcPr>
          <w:p>
            <w:pPr>
              <w:keepNext/>
              <w:spacing w:after="80" w:line="240" w:lineRule="auto"/>
            </w:pPr>
            <w:r>
              <w:rPr>
                <w:rFonts w:ascii="Times New Roman" w:hAnsi="Times New Roman"/>
                <w:color w:val="000000"/>
                <w:sz w:val="18"/>
              </w:rPr>
              <w:t>46.20022</w:t>
            </w:r>
          </w:p>
        </w:tc>
        <w:tc>
          <w:tcPr>
            <w:tcW w:type="dxa" w:w="5040"/>
          </w:tcPr>
          <w:p>
            <w:pPr>
              <w:keepNext/>
              <w:spacing w:after="80" w:line="240" w:lineRule="auto"/>
            </w:pPr>
            <w:r>
              <w:rPr>
                <w:rFonts w:ascii="Times New Roman" w:hAnsi="Times New Roman"/>
                <w:color w:val="000000"/>
                <w:sz w:val="18"/>
              </w:rPr>
              <w:t>PDF physical page 39 screenshot; source-verified</w:t>
            </w:r>
          </w:p>
        </w:tc>
      </w:tr>
      <w:tr>
        <w:trPr>
          <w:cantSplit/>
        </w:trPr>
        <w:tc>
          <w:tcPr>
            <w:tcW w:type="dxa" w:w="2592"/>
          </w:tcPr>
          <w:p>
            <w:pPr>
              <w:keepNext/>
              <w:spacing w:after="80" w:line="240" w:lineRule="auto"/>
            </w:pPr>
            <w:r>
              <w:rPr>
                <w:rFonts w:ascii="Times New Roman" w:hAnsi="Times New Roman"/>
                <w:color w:val="000000"/>
                <w:sz w:val="18"/>
              </w:rPr>
              <w:t>LOOCV R squared</w:t>
            </w:r>
          </w:p>
        </w:tc>
        <w:tc>
          <w:tcPr>
            <w:tcW w:type="dxa" w:w="1872"/>
          </w:tcPr>
          <w:p>
            <w:pPr>
              <w:keepNext/>
              <w:spacing w:after="80" w:line="240" w:lineRule="auto"/>
            </w:pPr>
            <w:r>
              <w:rPr>
                <w:rFonts w:ascii="Times New Roman" w:hAnsi="Times New Roman"/>
                <w:color w:val="000000"/>
                <w:sz w:val="18"/>
              </w:rPr>
              <w:t>0.03927991</w:t>
            </w:r>
          </w:p>
        </w:tc>
        <w:tc>
          <w:tcPr>
            <w:tcW w:type="dxa" w:w="5040"/>
          </w:tcPr>
          <w:p>
            <w:pPr>
              <w:keepNext/>
              <w:spacing w:after="80" w:line="240" w:lineRule="auto"/>
            </w:pPr>
            <w:r>
              <w:rPr>
                <w:rFonts w:ascii="Times New Roman" w:hAnsi="Times New Roman"/>
                <w:color w:val="000000"/>
                <w:sz w:val="18"/>
              </w:rPr>
              <w:t>PDF physical page 39 screenshot; source-verified</w:t>
            </w:r>
          </w:p>
        </w:tc>
      </w:tr>
      <w:tr>
        <w:trPr>
          <w:cantSplit/>
        </w:trPr>
        <w:tc>
          <w:tcPr>
            <w:tcW w:type="dxa" w:w="2592"/>
          </w:tcPr>
          <w:p>
            <w:pPr>
              <w:keepNext/>
              <w:spacing w:after="80" w:line="240" w:lineRule="auto"/>
            </w:pPr>
            <w:r>
              <w:rPr>
                <w:rFonts w:ascii="Times New Roman" w:hAnsi="Times New Roman"/>
                <w:color w:val="000000"/>
                <w:sz w:val="18"/>
              </w:rPr>
              <w:t>LOOCV MAE</w:t>
            </w:r>
          </w:p>
        </w:tc>
        <w:tc>
          <w:tcPr>
            <w:tcW w:type="dxa" w:w="1872"/>
          </w:tcPr>
          <w:p>
            <w:pPr>
              <w:keepNext/>
              <w:spacing w:after="80" w:line="240" w:lineRule="auto"/>
            </w:pPr>
            <w:r>
              <w:rPr>
                <w:rFonts w:ascii="Times New Roman" w:hAnsi="Times New Roman"/>
                <w:color w:val="000000"/>
                <w:sz w:val="18"/>
              </w:rPr>
              <w:t>37.91543</w:t>
            </w:r>
          </w:p>
        </w:tc>
        <w:tc>
          <w:tcPr>
            <w:tcW w:type="dxa" w:w="5040"/>
          </w:tcPr>
          <w:p>
            <w:pPr>
              <w:keepNext/>
              <w:spacing w:after="80" w:line="240" w:lineRule="auto"/>
            </w:pPr>
            <w:r>
              <w:rPr>
                <w:rFonts w:ascii="Times New Roman" w:hAnsi="Times New Roman"/>
                <w:color w:val="000000"/>
                <w:sz w:val="18"/>
              </w:rPr>
              <w:t>PDF physical page 39 screenshot; source-verified</w:t>
            </w:r>
          </w:p>
        </w:tc>
      </w:tr>
    </w:tbl>
    <w:p/>
    <w:p>
      <w:pPr>
        <w:keepLines/>
      </w:pPr>
      <w:r>
        <w:t>Table 1. Historical numbers remain on the original team-season response scale. They are transcribed and visually checked, not independently recomputed. They are not directly comparable with modern regulation-goal errors.</w:t>
      </w:r>
    </w:p>
    <w:p>
      <w:r>
        <w:br w:type="page"/>
      </w:r>
    </w:p>
    <w:p>
      <w:pPr>
        <w:pStyle w:val="Heading2"/>
      </w:pPr>
      <w:r>
        <w:t>2.1 Corrections and preserved insights</w:t>
      </w:r>
    </w:p>
    <w:p>
      <w:pPr>
        <w:keepLines/>
      </w:pPr>
      <w:r>
        <w:t>LOOCV across pooled team-seasons estimates interpolation under assumptions unlike future-season deployment. Later seasons can influence earlier ones, repeated teams induce dependence and the original record does not establish that selection was repeated inside each validation fit. Stepwise significance does not provide a reliable guarantee of future forecast quality.</w:t>
      </w:r>
    </w:p>
    <w:p>
      <w:pPr>
        <w:keepLines/>
      </w:pPr>
      <w:r>
        <w:t>The ordinary least-squares assumptions require precise treatment. The Central Limit Theorem does not establish independent, homoscedastic or normally distributed errors. A residual Q-Q plot addresses a different issue from temporal dependence. Adjusted R squared penalizes model size but does not remove all optimism from searching many candidate models.</w:t>
      </w:r>
    </w:p>
    <w:p>
      <w:pPr>
        <w:keepLines/>
      </w:pPr>
      <w:r>
        <w:t>The original’s strongest contribution is its honest recognition that the chosen linear model performed poorly and that game-level paired responses, regularization and richer information could improve the design. This revision treats those ideas as hypotheses to evaluate rather than outcomes that must be confirmed.</w:t>
      </w:r>
    </w:p>
    <w:p>
      <w:r>
        <w:br w:type="page"/>
      </w:r>
    </w:p>
    <w:p>
      <w:pPr>
        <w:pStyle w:val="Heading1"/>
      </w:pPr>
      <w:r>
        <w:t>3 Related research and statistical framework</w:t>
      </w:r>
    </w:p>
    <w:p>
      <w:pPr>
        <w:keepLines/>
      </w:pPr>
      <w:r>
        <w:t>The theoretical evaluation framework follows proper scoring rules [2]. A logarithmic score rewards a forecast distribution for assigning probability to the realized outcome. A mean negative log likelihood is therefore an appropriate primary loss for paired discrete scores. It addresses a different question from minimizing absolute point error.</w:t>
      </w:r>
    </w:p>
    <w:p>
      <w:pPr>
        <w:keepLines/>
      </w:pPr>
      <w:r>
        <w:t>Bivariate Poisson models introduce a shared latent count to represent positive dependence [3]. The construction is useful as a testable score-distribution model, but a shared Poisson component cannot represent negative conditional covariance. Marginal scoring environments and conditional game interactions must be distinguished before interpreting an unconditional score correlation.</w:t>
      </w:r>
    </w:p>
    <w:p>
      <w:pPr>
        <w:keepLines/>
      </w:pPr>
      <w:r>
        <w:t>Dixon and Coles developed a football-specific Poisson extension addressing dynamic performance and low-score behavior [4]. It provides methodological context, not direct evidence that its correction applies to hockey. Higher scoring, empty-net strategies, penalties and overtime rules motivate separate NHL diagnostics before adopting such a correction.</w:t>
      </w:r>
    </w:p>
    <w:p>
      <w:pPr>
        <w:keepLines/>
      </w:pPr>
      <w:r>
        <w:t>Macdonald, Lennon and Sturdivant use shot-level logistic estimates to evaluate NHL performance [5]. Their work supports examining shot-quality measures as complements to traditional quantities. It does not establish that retrospective expected-goals files were available at every historical forecast date; that availability issue is why xG is outside this primary experiment.</w:t>
      </w:r>
    </w:p>
    <w:p>
      <w:pPr>
        <w:keepLines/>
      </w:pPr>
      <w:r>
        <w:t>Thomas and colleagues model competing scoring processes with player effects and shrinkage [6]. Sadeghkhani and Ahmed examine predictive densities for scoring times [7]. These studies show that event timing and on-ice context can support richer models, while differing from the present pregame paired-score task. Neither model is implemented here.</w:t>
      </w:r>
    </w:p>
    <w:p>
      <w:pPr>
        <w:keepLines/>
      </w:pPr>
      <w:r>
        <w:t>The implemented model ladder begins with league and recent-form baselines, then regularized count and point models, a categorical attack/defence model, a plug-in shared-count extension and controlled tree ensembles. This is a selected research comparison rather than an exhaustive survey. The related-work review is focused and does not claim systematic coverage of all publications through 2026.</w:t>
      </w:r>
    </w:p>
    <w:p>
      <w:r>
        <w:br w:type="page"/>
      </w:r>
    </w:p>
    <w:p>
      <w:pPr>
        <w:pStyle w:val="Heading2"/>
      </w:pPr>
      <w:r>
        <w:t>3.1 Distributional definitions</w:t>
      </w:r>
    </w:p>
    <w:p>
      <w:pPr>
        <w:keepLines/>
      </w:pPr>
      <w:r>
        <w:t>For game g, the target is the pair of home and away regulation goal counts. The predictive distribution conditions on the history admitted by the information boundary. Its conditional means can differ by home role, team form and opponent form.</w:t>
      </w:r>
    </w:p>
    <w:p>
      <w:pPr>
        <w:keepLines/>
      </w:pPr>
      <w:r>
        <w:t>Independent Poisson factorizes the paired distribution into two Poisson margins. Each fitted count-model mean uses a log link. The NB2 alternative allows conditional variance to exceed the mean by a nonnegative quadratic dispersion term estimated from training data.</w:t>
      </w:r>
    </w:p>
    <w:p>
      <w:pPr>
        <w:keepLines/>
      </w:pPr>
      <w:r>
        <w:t>The plug-in bivariate construction adds the same latent Poisson count to two independent side-specific counts. Their means are the home mean minus c, the away mean minus c and c. The shared count preserves both marginal means and gives conditional covariance c. Rho is estimated on training data with marginal predictions held fixed; this is not full joint maximum-likelihood regression.</w:t>
      </w:r>
    </w:p>
    <w:p>
      <w:pPr>
        <w:keepLines/>
      </w:pPr>
      <w:r>
        <w:t>Ridge and forest predictions are clipped below at 0.05 goals and embedded in independent Poisson margins for probability comparison. Their mean estimators optimize squared-error objectives, not count likelihood. Their probability outputs are explicit Poisson proxies and should not be described as learned full distributions.</w:t>
      </w:r>
    </w:p>
    <w:p>
      <w:pPr>
        <w:keepLines/>
        <w:jc w:val="center"/>
      </w:pPr>
      <w:r>
        <w:rPr>
          <w:rFonts w:ascii="Times New Roman" w:hAnsi="Times New Roman"/>
          <w:i/>
          <w:sz w:val="24"/>
        </w:rPr>
        <w:t>Y</w:t>
      </w:r>
      <w:r>
        <w:rPr>
          <w:rFonts w:ascii="Times New Roman" w:hAnsi="Times New Roman"/>
          <w:i/>
          <w:sz w:val="24"/>
          <w:vertAlign w:val="subscript"/>
        </w:rPr>
        <w:t>g</w:t>
      </w:r>
      <w:r>
        <w:rPr>
          <w:rFonts w:ascii="Times New Roman" w:hAnsi="Times New Roman"/>
          <w:i/>
          <w:sz w:val="24"/>
        </w:rPr>
        <w:t xml:space="preserve"> = (Y</w:t>
      </w:r>
      <w:r>
        <w:rPr>
          <w:rFonts w:ascii="Times New Roman" w:hAnsi="Times New Roman"/>
          <w:i/>
          <w:sz w:val="24"/>
          <w:vertAlign w:val="subscript"/>
        </w:rPr>
        <w:t>gH</w:t>
      </w:r>
      <w:r>
        <w:rPr>
          <w:rFonts w:ascii="Times New Roman" w:hAnsi="Times New Roman"/>
          <w:i/>
          <w:sz w:val="24"/>
        </w:rPr>
        <w:t>, Y</w:t>
      </w:r>
      <w:r>
        <w:rPr>
          <w:rFonts w:ascii="Times New Roman" w:hAnsi="Times New Roman"/>
          <w:i/>
          <w:sz w:val="24"/>
          <w:vertAlign w:val="subscript"/>
        </w:rPr>
        <w:t>gA</w:t>
      </w:r>
      <w:r>
        <w:rPr>
          <w:rFonts w:ascii="Times New Roman" w:hAnsi="Times New Roman"/>
          <w:i/>
          <w:sz w:val="24"/>
        </w:rPr>
        <w:t>)</w:t>
      </w:r>
    </w:p>
    <w:p>
      <w:pPr>
        <w:keepLines/>
        <w:jc w:val="center"/>
      </w:pPr>
      <w:r>
        <w:rPr>
          <w:rFonts w:ascii="Times New Roman" w:hAnsi="Times New Roman"/>
          <w:i/>
          <w:sz w:val="24"/>
        </w:rPr>
        <w:t>p</w:t>
      </w:r>
      <w:r>
        <w:rPr>
          <w:rFonts w:ascii="Times New Roman" w:hAnsi="Times New Roman"/>
          <w:i/>
          <w:sz w:val="24"/>
          <w:vertAlign w:val="subscript"/>
        </w:rPr>
        <w:t>g</w:t>
      </w:r>
      <w:r>
        <w:rPr>
          <w:rFonts w:ascii="Times New Roman" w:hAnsi="Times New Roman"/>
          <w:i/>
          <w:sz w:val="24"/>
        </w:rPr>
        <w:t>(h, a | I</w:t>
      </w:r>
      <w:r>
        <w:rPr>
          <w:rFonts w:ascii="Times New Roman" w:hAnsi="Times New Roman"/>
          <w:i/>
          <w:sz w:val="24"/>
          <w:vertAlign w:val="subscript"/>
        </w:rPr>
        <w:t>g</w:t>
      </w:r>
      <w:r>
        <w:rPr>
          <w:rFonts w:ascii="Times New Roman" w:hAnsi="Times New Roman"/>
          <w:i/>
          <w:sz w:val="24"/>
        </w:rPr>
        <w:t>) = Pois(h; μ</w:t>
      </w:r>
      <w:r>
        <w:rPr>
          <w:rFonts w:ascii="Times New Roman" w:hAnsi="Times New Roman"/>
          <w:i/>
          <w:sz w:val="24"/>
          <w:vertAlign w:val="subscript"/>
        </w:rPr>
        <w:t>gH</w:t>
      </w:r>
      <w:r>
        <w:rPr>
          <w:rFonts w:ascii="Times New Roman" w:hAnsi="Times New Roman"/>
          <w:i/>
          <w:sz w:val="24"/>
        </w:rPr>
        <w:t>) Pois(a; μ</w:t>
      </w:r>
      <w:r>
        <w:rPr>
          <w:rFonts w:ascii="Times New Roman" w:hAnsi="Times New Roman"/>
          <w:i/>
          <w:sz w:val="24"/>
          <w:vertAlign w:val="subscript"/>
        </w:rPr>
        <w:t>gA</w:t>
      </w:r>
      <w:r>
        <w:rPr>
          <w:rFonts w:ascii="Times New Roman" w:hAnsi="Times New Roman"/>
          <w:i/>
          <w:sz w:val="24"/>
        </w:rPr>
        <w:t>)</w:t>
      </w:r>
    </w:p>
    <w:p>
      <w:pPr>
        <w:keepLines/>
        <w:jc w:val="center"/>
      </w:pPr>
      <w:r>
        <w:rPr>
          <w:rFonts w:ascii="Times New Roman" w:hAnsi="Times New Roman"/>
          <w:i/>
          <w:sz w:val="24"/>
        </w:rPr>
        <w:t>Var(Y | I) = μ + α μ²</w:t>
      </w:r>
    </w:p>
    <w:p>
      <w:pPr>
        <w:keepLines/>
        <w:jc w:val="center"/>
      </w:pPr>
      <w:r>
        <w:rPr>
          <w:rFonts w:ascii="Times New Roman" w:hAnsi="Times New Roman"/>
          <w:i/>
          <w:sz w:val="24"/>
        </w:rPr>
        <w:t>Y</w:t>
      </w:r>
      <w:r>
        <w:rPr>
          <w:rFonts w:ascii="Times New Roman" w:hAnsi="Times New Roman"/>
          <w:i/>
          <w:sz w:val="24"/>
          <w:vertAlign w:val="subscript"/>
        </w:rPr>
        <w:t>H</w:t>
      </w:r>
      <w:r>
        <w:rPr>
          <w:rFonts w:ascii="Times New Roman" w:hAnsi="Times New Roman"/>
          <w:i/>
          <w:sz w:val="24"/>
        </w:rPr>
        <w:t xml:space="preserve"> = U + W,     Y</w:t>
      </w:r>
      <w:r>
        <w:rPr>
          <w:rFonts w:ascii="Times New Roman" w:hAnsi="Times New Roman"/>
          <w:i/>
          <w:sz w:val="24"/>
          <w:vertAlign w:val="subscript"/>
        </w:rPr>
        <w:t>A</w:t>
      </w:r>
      <w:r>
        <w:rPr>
          <w:rFonts w:ascii="Times New Roman" w:hAnsi="Times New Roman"/>
          <w:i/>
          <w:sz w:val="24"/>
        </w:rPr>
        <w:t xml:space="preserve"> = V + W</w:t>
      </w:r>
    </w:p>
    <w:p>
      <w:pPr>
        <w:keepLines/>
        <w:jc w:val="center"/>
      </w:pPr>
      <w:r>
        <w:rPr>
          <w:rFonts w:ascii="Times New Roman" w:hAnsi="Times New Roman"/>
          <w:i/>
          <w:sz w:val="24"/>
        </w:rPr>
        <w:t>c = ρ min(μ</w:t>
      </w:r>
      <w:r>
        <w:rPr>
          <w:rFonts w:ascii="Times New Roman" w:hAnsi="Times New Roman"/>
          <w:i/>
          <w:sz w:val="24"/>
          <w:vertAlign w:val="subscript"/>
        </w:rPr>
        <w:t>H</w:t>
      </w:r>
      <w:r>
        <w:rPr>
          <w:rFonts w:ascii="Times New Roman" w:hAnsi="Times New Roman"/>
          <w:i/>
          <w:sz w:val="24"/>
        </w:rPr>
        <w:t>, μ</w:t>
      </w:r>
      <w:r>
        <w:rPr>
          <w:rFonts w:ascii="Times New Roman" w:hAnsi="Times New Roman"/>
          <w:i/>
          <w:sz w:val="24"/>
          <w:vertAlign w:val="subscript"/>
        </w:rPr>
        <w:t>A</w:t>
      </w:r>
      <w:r>
        <w:rPr>
          <w:rFonts w:ascii="Times New Roman" w:hAnsi="Times New Roman"/>
          <w:i/>
          <w:sz w:val="24"/>
        </w:rPr>
        <w:t>),     0 ≤ ρ ≤ 0.8</w:t>
      </w:r>
    </w:p>
    <w:p>
      <w:r>
        <w:br w:type="page"/>
      </w:r>
    </w:p>
    <w:p>
      <w:pPr>
        <w:pStyle w:val="Heading1"/>
      </w:pPr>
      <w:r>
        <w:t>4 Data and prediction contract</w:t>
      </w:r>
    </w:p>
    <w:p>
      <w:pPr>
        <w:keepLines/>
      </w:pPr>
      <w:r>
        <w:t>The primary modern source is MoneyPuck’s publicly listed all-team game-by-game file [8]. The retrieved snapshot is immutable locally and identified by SHA256. Only original code, aggregate research outputs and provenance information are published. Raw files and row-level derived datasets are excluded from the public repository.</w:t>
      </w:r>
    </w:p>
    <w:p>
      <w:pPr>
        <w:keepLines/>
      </w:pPr>
      <w:r>
        <w:t>The study selects regular-season records for season-start years 2016 through 2024, with situation equal to all. A canonical game pairs one home and one away record. Paired date, season, opponents, elapsed time and mirrored goals must agree. Duplicate roles, missing pairs and inconsistent mirrored values cause a failure rather than an unreported repair.</w:t>
      </w:r>
    </w:p>
    <w:p>
      <w:pPr>
        <w:keepLines/>
      </w:pPr>
      <w:r>
        <w:t>MoneyPuck goals are actual played goals rather than the shootout scoreboard marker. Regulation reconstruction uses all-situation elapsed time. A 3,600-second game retains its played score; a longer game subtracts the actual sudden-death goal from the winning team. A tied played score after overtime requires no subtraction and is treated as a shootout game. The resulting regulation score is tied whenever overtime occurred.</w:t>
      </w:r>
    </w:p>
    <w:p>
      <w:pPr>
        <w:keepLines/>
      </w:pPr>
      <w:r>
        <w:t>One record, game 2019020876, contains only 1,200 elapsed seconds in the source despite appearing in a regular-season table. Both team rows have that incomplete duration. The record is excluded under the duration rule. The exclusion is a source-integrity decision, not an outcome-based choice favoring a model.</w:t>
      </w:r>
    </w:p>
    <w:p>
      <w:pPr>
        <w:keepLines/>
      </w:pPr>
      <w:r>
        <w:t>Fifty-four deterministic verification cases cover two games for each finish type in each included season. Reconstructed regulation counts match official period-by-period scoring in every sampled case [9]. This validates those cases and the inferred convention; it does not prove every row in the complete dataset is correct.</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2412"/>
        <w:gridCol w:w="2412"/>
        <w:gridCol w:w="2412"/>
        <w:gridCol w:w="2412"/>
      </w:tblGrid>
      <w:tr>
        <w:trPr>
          <w:tblHeader/>
          <w:cantSplit/>
        </w:trPr>
        <w:tc>
          <w:tcPr>
            <w:tcW w:type="dxa" w:w="2160"/>
            <w:shd w:fill="E7E7E7"/>
          </w:tcPr>
          <w:p>
            <w:pPr>
              <w:keepNext/>
              <w:spacing w:after="80" w:line="240" w:lineRule="auto"/>
            </w:pPr>
            <w:r>
              <w:rPr>
                <w:rFonts w:ascii="Times New Roman" w:hAnsi="Times New Roman"/>
                <w:b/>
                <w:color w:val="000000"/>
                <w:sz w:val="18"/>
              </w:rPr>
              <w:t>Season</w:t>
            </w:r>
          </w:p>
        </w:tc>
        <w:tc>
          <w:tcPr>
            <w:tcW w:type="dxa" w:w="1584"/>
            <w:shd w:fill="E7E7E7"/>
          </w:tcPr>
          <w:p>
            <w:pPr>
              <w:keepNext/>
              <w:spacing w:after="80" w:line="240" w:lineRule="auto"/>
            </w:pPr>
            <w:r>
              <w:rPr>
                <w:rFonts w:ascii="Times New Roman" w:hAnsi="Times New Roman"/>
                <w:b/>
                <w:color w:val="000000"/>
                <w:sz w:val="18"/>
              </w:rPr>
              <w:t>Games</w:t>
            </w:r>
          </w:p>
        </w:tc>
        <w:tc>
          <w:tcPr>
            <w:tcW w:type="dxa" w:w="2880"/>
            <w:shd w:fill="E7E7E7"/>
          </w:tcPr>
          <w:p>
            <w:pPr>
              <w:keepNext/>
              <w:spacing w:after="80" w:line="240" w:lineRule="auto"/>
            </w:pPr>
            <w:r>
              <w:rPr>
                <w:rFonts w:ascii="Times New Roman" w:hAnsi="Times New Roman"/>
                <w:b/>
                <w:color w:val="000000"/>
                <w:sz w:val="18"/>
              </w:rPr>
              <w:t>Home mean</w:t>
            </w:r>
          </w:p>
        </w:tc>
        <w:tc>
          <w:tcPr>
            <w:tcW w:type="dxa" w:w="2880"/>
            <w:shd w:fill="E7E7E7"/>
          </w:tcPr>
          <w:p>
            <w:pPr>
              <w:keepNext/>
              <w:spacing w:after="80" w:line="240" w:lineRule="auto"/>
            </w:pPr>
            <w:r>
              <w:rPr>
                <w:rFonts w:ascii="Times New Roman" w:hAnsi="Times New Roman"/>
                <w:b/>
                <w:color w:val="000000"/>
                <w:sz w:val="18"/>
              </w:rPr>
              <w:t>Away mean</w:t>
            </w:r>
          </w:p>
        </w:tc>
      </w:tr>
      <w:tr>
        <w:trPr>
          <w:cantSplit/>
        </w:trPr>
        <w:tc>
          <w:tcPr>
            <w:tcW w:type="dxa" w:w="2160"/>
          </w:tcPr>
          <w:p>
            <w:pPr>
              <w:keepNext/>
              <w:spacing w:after="80" w:line="240" w:lineRule="auto"/>
            </w:pPr>
            <w:r>
              <w:rPr>
                <w:rFonts w:ascii="Times New Roman" w:hAnsi="Times New Roman"/>
                <w:color w:val="000000"/>
                <w:sz w:val="18"/>
              </w:rPr>
              <w:t>2016-17</w:t>
            </w:r>
          </w:p>
        </w:tc>
        <w:tc>
          <w:tcPr>
            <w:tcW w:type="dxa" w:w="1584"/>
          </w:tcPr>
          <w:p>
            <w:pPr>
              <w:keepNext/>
              <w:spacing w:after="80" w:line="240" w:lineRule="auto"/>
            </w:pPr>
            <w:r>
              <w:rPr>
                <w:rFonts w:ascii="Times New Roman" w:hAnsi="Times New Roman"/>
                <w:color w:val="000000"/>
                <w:sz w:val="18"/>
              </w:rPr>
              <w:t>1,230</w:t>
            </w:r>
          </w:p>
        </w:tc>
        <w:tc>
          <w:tcPr>
            <w:tcW w:type="dxa" w:w="2880"/>
          </w:tcPr>
          <w:p>
            <w:pPr>
              <w:keepNext/>
              <w:spacing w:after="80" w:line="240" w:lineRule="auto"/>
            </w:pPr>
            <w:r>
              <w:rPr>
                <w:rFonts w:ascii="Times New Roman" w:hAnsi="Times New Roman"/>
                <w:color w:val="000000"/>
                <w:sz w:val="18"/>
              </w:rPr>
              <w:t>2.796</w:t>
            </w:r>
          </w:p>
        </w:tc>
        <w:tc>
          <w:tcPr>
            <w:tcW w:type="dxa" w:w="2880"/>
          </w:tcPr>
          <w:p>
            <w:pPr>
              <w:keepNext/>
              <w:spacing w:after="80" w:line="240" w:lineRule="auto"/>
            </w:pPr>
            <w:r>
              <w:rPr>
                <w:rFonts w:ascii="Times New Roman" w:hAnsi="Times New Roman"/>
                <w:color w:val="000000"/>
                <w:sz w:val="18"/>
              </w:rPr>
              <w:t>2.500</w:t>
            </w:r>
          </w:p>
        </w:tc>
      </w:tr>
      <w:tr>
        <w:trPr>
          <w:cantSplit/>
        </w:trPr>
        <w:tc>
          <w:tcPr>
            <w:tcW w:type="dxa" w:w="2160"/>
          </w:tcPr>
          <w:p>
            <w:pPr>
              <w:keepNext/>
              <w:spacing w:after="80" w:line="240" w:lineRule="auto"/>
            </w:pPr>
            <w:r>
              <w:rPr>
                <w:rFonts w:ascii="Times New Roman" w:hAnsi="Times New Roman"/>
                <w:color w:val="000000"/>
                <w:sz w:val="18"/>
              </w:rPr>
              <w:t>2017-18</w:t>
            </w:r>
          </w:p>
        </w:tc>
        <w:tc>
          <w:tcPr>
            <w:tcW w:type="dxa" w:w="1584"/>
          </w:tcPr>
          <w:p>
            <w:pPr>
              <w:keepNext/>
              <w:spacing w:after="80" w:line="240" w:lineRule="auto"/>
            </w:pPr>
            <w:r>
              <w:rPr>
                <w:rFonts w:ascii="Times New Roman" w:hAnsi="Times New Roman"/>
                <w:color w:val="000000"/>
                <w:sz w:val="18"/>
              </w:rPr>
              <w:t>1,271</w:t>
            </w:r>
          </w:p>
        </w:tc>
        <w:tc>
          <w:tcPr>
            <w:tcW w:type="dxa" w:w="2880"/>
          </w:tcPr>
          <w:p>
            <w:pPr>
              <w:keepNext/>
              <w:spacing w:after="80" w:line="240" w:lineRule="auto"/>
            </w:pPr>
            <w:r>
              <w:rPr>
                <w:rFonts w:ascii="Times New Roman" w:hAnsi="Times New Roman"/>
                <w:color w:val="000000"/>
                <w:sz w:val="18"/>
              </w:rPr>
              <w:t>2.995</w:t>
            </w:r>
          </w:p>
        </w:tc>
        <w:tc>
          <w:tcPr>
            <w:tcW w:type="dxa" w:w="2880"/>
          </w:tcPr>
          <w:p>
            <w:pPr>
              <w:keepNext/>
              <w:spacing w:after="80" w:line="240" w:lineRule="auto"/>
            </w:pPr>
            <w:r>
              <w:rPr>
                <w:rFonts w:ascii="Times New Roman" w:hAnsi="Times New Roman"/>
                <w:color w:val="000000"/>
                <w:sz w:val="18"/>
              </w:rPr>
              <w:t>2.714</w:t>
            </w:r>
          </w:p>
        </w:tc>
      </w:tr>
      <w:tr>
        <w:trPr>
          <w:cantSplit/>
        </w:trPr>
        <w:tc>
          <w:tcPr>
            <w:tcW w:type="dxa" w:w="2160"/>
          </w:tcPr>
          <w:p>
            <w:pPr>
              <w:keepNext/>
              <w:spacing w:after="80" w:line="240" w:lineRule="auto"/>
            </w:pPr>
            <w:r>
              <w:rPr>
                <w:rFonts w:ascii="Times New Roman" w:hAnsi="Times New Roman"/>
                <w:color w:val="000000"/>
                <w:sz w:val="18"/>
              </w:rPr>
              <w:t>2018-19</w:t>
            </w:r>
          </w:p>
        </w:tc>
        <w:tc>
          <w:tcPr>
            <w:tcW w:type="dxa" w:w="1584"/>
          </w:tcPr>
          <w:p>
            <w:pPr>
              <w:keepNext/>
              <w:spacing w:after="80" w:line="240" w:lineRule="auto"/>
            </w:pPr>
            <w:r>
              <w:rPr>
                <w:rFonts w:ascii="Times New Roman" w:hAnsi="Times New Roman"/>
                <w:color w:val="000000"/>
                <w:sz w:val="18"/>
              </w:rPr>
              <w:t>1,271</w:t>
            </w:r>
          </w:p>
        </w:tc>
        <w:tc>
          <w:tcPr>
            <w:tcW w:type="dxa" w:w="2880"/>
          </w:tcPr>
          <w:p>
            <w:pPr>
              <w:keepNext/>
              <w:spacing w:after="80" w:line="240" w:lineRule="auto"/>
            </w:pPr>
            <w:r>
              <w:rPr>
                <w:rFonts w:ascii="Times New Roman" w:hAnsi="Times New Roman"/>
                <w:color w:val="000000"/>
                <w:sz w:val="18"/>
              </w:rPr>
              <w:t>3.068</w:t>
            </w:r>
          </w:p>
        </w:tc>
        <w:tc>
          <w:tcPr>
            <w:tcW w:type="dxa" w:w="2880"/>
          </w:tcPr>
          <w:p>
            <w:pPr>
              <w:keepNext/>
              <w:spacing w:after="80" w:line="240" w:lineRule="auto"/>
            </w:pPr>
            <w:r>
              <w:rPr>
                <w:rFonts w:ascii="Times New Roman" w:hAnsi="Times New Roman"/>
                <w:color w:val="000000"/>
                <w:sz w:val="18"/>
              </w:rPr>
              <w:t>2.749</w:t>
            </w:r>
          </w:p>
        </w:tc>
      </w:tr>
      <w:tr>
        <w:trPr>
          <w:cantSplit/>
        </w:trPr>
        <w:tc>
          <w:tcPr>
            <w:tcW w:type="dxa" w:w="2160"/>
          </w:tcPr>
          <w:p>
            <w:pPr>
              <w:keepNext/>
              <w:spacing w:after="80" w:line="240" w:lineRule="auto"/>
            </w:pPr>
            <w:r>
              <w:rPr>
                <w:rFonts w:ascii="Times New Roman" w:hAnsi="Times New Roman"/>
                <w:color w:val="000000"/>
                <w:sz w:val="18"/>
              </w:rPr>
              <w:t>2019-20</w:t>
            </w:r>
          </w:p>
        </w:tc>
        <w:tc>
          <w:tcPr>
            <w:tcW w:type="dxa" w:w="1584"/>
          </w:tcPr>
          <w:p>
            <w:pPr>
              <w:keepNext/>
              <w:spacing w:after="80" w:line="240" w:lineRule="auto"/>
            </w:pPr>
            <w:r>
              <w:rPr>
                <w:rFonts w:ascii="Times New Roman" w:hAnsi="Times New Roman"/>
                <w:color w:val="000000"/>
                <w:sz w:val="18"/>
              </w:rPr>
              <w:t>1,081</w:t>
            </w:r>
          </w:p>
        </w:tc>
        <w:tc>
          <w:tcPr>
            <w:tcW w:type="dxa" w:w="2880"/>
          </w:tcPr>
          <w:p>
            <w:pPr>
              <w:keepNext/>
              <w:spacing w:after="80" w:line="240" w:lineRule="auto"/>
            </w:pPr>
            <w:r>
              <w:rPr>
                <w:rFonts w:ascii="Times New Roman" w:hAnsi="Times New Roman"/>
                <w:color w:val="000000"/>
                <w:sz w:val="18"/>
              </w:rPr>
              <w:t>3.033</w:t>
            </w:r>
          </w:p>
        </w:tc>
        <w:tc>
          <w:tcPr>
            <w:tcW w:type="dxa" w:w="2880"/>
          </w:tcPr>
          <w:p>
            <w:pPr>
              <w:keepNext/>
              <w:spacing w:after="80" w:line="240" w:lineRule="auto"/>
            </w:pPr>
            <w:r>
              <w:rPr>
                <w:rFonts w:ascii="Times New Roman" w:hAnsi="Times New Roman"/>
                <w:color w:val="000000"/>
                <w:sz w:val="18"/>
              </w:rPr>
              <w:t>2.766</w:t>
            </w:r>
          </w:p>
        </w:tc>
      </w:tr>
      <w:tr>
        <w:trPr>
          <w:cantSplit/>
        </w:trPr>
        <w:tc>
          <w:tcPr>
            <w:tcW w:type="dxa" w:w="2160"/>
          </w:tcPr>
          <w:p>
            <w:pPr>
              <w:keepNext/>
              <w:spacing w:after="80" w:line="240" w:lineRule="auto"/>
            </w:pPr>
            <w:r>
              <w:rPr>
                <w:rFonts w:ascii="Times New Roman" w:hAnsi="Times New Roman"/>
                <w:color w:val="000000"/>
                <w:sz w:val="18"/>
              </w:rPr>
              <w:t>2020-21</w:t>
            </w:r>
          </w:p>
        </w:tc>
        <w:tc>
          <w:tcPr>
            <w:tcW w:type="dxa" w:w="1584"/>
          </w:tcPr>
          <w:p>
            <w:pPr>
              <w:keepNext/>
              <w:spacing w:after="80" w:line="240" w:lineRule="auto"/>
            </w:pPr>
            <w:r>
              <w:rPr>
                <w:rFonts w:ascii="Times New Roman" w:hAnsi="Times New Roman"/>
                <w:color w:val="000000"/>
                <w:sz w:val="18"/>
              </w:rPr>
              <w:t>868</w:t>
            </w:r>
          </w:p>
        </w:tc>
        <w:tc>
          <w:tcPr>
            <w:tcW w:type="dxa" w:w="2880"/>
          </w:tcPr>
          <w:p>
            <w:pPr>
              <w:keepNext/>
              <w:spacing w:after="80" w:line="240" w:lineRule="auto"/>
            </w:pPr>
            <w:r>
              <w:rPr>
                <w:rFonts w:ascii="Times New Roman" w:hAnsi="Times New Roman"/>
                <w:color w:val="000000"/>
                <w:sz w:val="18"/>
              </w:rPr>
              <w:t>2.963</w:t>
            </w:r>
          </w:p>
        </w:tc>
        <w:tc>
          <w:tcPr>
            <w:tcW w:type="dxa" w:w="2880"/>
          </w:tcPr>
          <w:p>
            <w:pPr>
              <w:keepNext/>
              <w:spacing w:after="80" w:line="240" w:lineRule="auto"/>
            </w:pPr>
            <w:r>
              <w:rPr>
                <w:rFonts w:ascii="Times New Roman" w:hAnsi="Times New Roman"/>
                <w:color w:val="000000"/>
                <w:sz w:val="18"/>
              </w:rPr>
              <w:t>2.683</w:t>
            </w:r>
          </w:p>
        </w:tc>
      </w:tr>
      <w:tr>
        <w:trPr>
          <w:cantSplit/>
        </w:trPr>
        <w:tc>
          <w:tcPr>
            <w:tcW w:type="dxa" w:w="2160"/>
          </w:tcPr>
          <w:p>
            <w:pPr>
              <w:keepNext/>
              <w:spacing w:after="80" w:line="240" w:lineRule="auto"/>
            </w:pPr>
            <w:r>
              <w:rPr>
                <w:rFonts w:ascii="Times New Roman" w:hAnsi="Times New Roman"/>
                <w:color w:val="000000"/>
                <w:sz w:val="18"/>
              </w:rPr>
              <w:t>2021-22</w:t>
            </w:r>
          </w:p>
        </w:tc>
        <w:tc>
          <w:tcPr>
            <w:tcW w:type="dxa" w:w="1584"/>
          </w:tcPr>
          <w:p>
            <w:pPr>
              <w:keepNext/>
              <w:spacing w:after="80" w:line="240" w:lineRule="auto"/>
            </w:pPr>
            <w:r>
              <w:rPr>
                <w:rFonts w:ascii="Times New Roman" w:hAnsi="Times New Roman"/>
                <w:color w:val="000000"/>
                <w:sz w:val="18"/>
              </w:rPr>
              <w:t>1,312</w:t>
            </w:r>
          </w:p>
        </w:tc>
        <w:tc>
          <w:tcPr>
            <w:tcW w:type="dxa" w:w="2880"/>
          </w:tcPr>
          <w:p>
            <w:pPr>
              <w:keepNext/>
              <w:spacing w:after="80" w:line="240" w:lineRule="auto"/>
            </w:pPr>
            <w:r>
              <w:rPr>
                <w:rFonts w:ascii="Times New Roman" w:hAnsi="Times New Roman"/>
                <w:color w:val="000000"/>
                <w:sz w:val="18"/>
              </w:rPr>
              <w:t>3.152</w:t>
            </w:r>
          </w:p>
        </w:tc>
        <w:tc>
          <w:tcPr>
            <w:tcW w:type="dxa" w:w="2880"/>
          </w:tcPr>
          <w:p>
            <w:pPr>
              <w:keepNext/>
              <w:spacing w:after="80" w:line="240" w:lineRule="auto"/>
            </w:pPr>
            <w:r>
              <w:rPr>
                <w:rFonts w:ascii="Times New Roman" w:hAnsi="Times New Roman"/>
                <w:color w:val="000000"/>
                <w:sz w:val="18"/>
              </w:rPr>
              <w:t>2.918</w:t>
            </w:r>
          </w:p>
        </w:tc>
      </w:tr>
      <w:tr>
        <w:trPr>
          <w:cantSplit/>
        </w:trPr>
        <w:tc>
          <w:tcPr>
            <w:tcW w:type="dxa" w:w="2160"/>
          </w:tcPr>
          <w:p>
            <w:pPr>
              <w:keepNext/>
              <w:spacing w:after="80" w:line="240" w:lineRule="auto"/>
            </w:pPr>
            <w:r>
              <w:rPr>
                <w:rFonts w:ascii="Times New Roman" w:hAnsi="Times New Roman"/>
                <w:color w:val="000000"/>
                <w:sz w:val="18"/>
              </w:rPr>
              <w:t>2022-23</w:t>
            </w:r>
          </w:p>
        </w:tc>
        <w:tc>
          <w:tcPr>
            <w:tcW w:type="dxa" w:w="1584"/>
          </w:tcPr>
          <w:p>
            <w:pPr>
              <w:keepNext/>
              <w:spacing w:after="80" w:line="240" w:lineRule="auto"/>
            </w:pPr>
            <w:r>
              <w:rPr>
                <w:rFonts w:ascii="Times New Roman" w:hAnsi="Times New Roman"/>
                <w:color w:val="000000"/>
                <w:sz w:val="18"/>
              </w:rPr>
              <w:t>1,312</w:t>
            </w:r>
          </w:p>
        </w:tc>
        <w:tc>
          <w:tcPr>
            <w:tcW w:type="dxa" w:w="2880"/>
          </w:tcPr>
          <w:p>
            <w:pPr>
              <w:keepNext/>
              <w:spacing w:after="80" w:line="240" w:lineRule="auto"/>
            </w:pPr>
            <w:r>
              <w:rPr>
                <w:rFonts w:ascii="Times New Roman" w:hAnsi="Times New Roman"/>
                <w:color w:val="000000"/>
                <w:sz w:val="18"/>
              </w:rPr>
              <w:t>3.148</w:t>
            </w:r>
          </w:p>
        </w:tc>
        <w:tc>
          <w:tcPr>
            <w:tcW w:type="dxa" w:w="2880"/>
          </w:tcPr>
          <w:p>
            <w:pPr>
              <w:keepNext/>
              <w:spacing w:after="80" w:line="240" w:lineRule="auto"/>
            </w:pPr>
            <w:r>
              <w:rPr>
                <w:rFonts w:ascii="Times New Roman" w:hAnsi="Times New Roman"/>
                <w:color w:val="000000"/>
                <w:sz w:val="18"/>
              </w:rPr>
              <w:t>2.981</w:t>
            </w:r>
          </w:p>
        </w:tc>
      </w:tr>
      <w:tr>
        <w:trPr>
          <w:cantSplit/>
        </w:trPr>
        <w:tc>
          <w:tcPr>
            <w:tcW w:type="dxa" w:w="2160"/>
          </w:tcPr>
          <w:p>
            <w:pPr>
              <w:keepNext/>
              <w:spacing w:after="80" w:line="240" w:lineRule="auto"/>
            </w:pPr>
            <w:r>
              <w:rPr>
                <w:rFonts w:ascii="Times New Roman" w:hAnsi="Times New Roman"/>
                <w:color w:val="000000"/>
                <w:sz w:val="18"/>
              </w:rPr>
              <w:t>2023-24</w:t>
            </w:r>
          </w:p>
        </w:tc>
        <w:tc>
          <w:tcPr>
            <w:tcW w:type="dxa" w:w="1584"/>
          </w:tcPr>
          <w:p>
            <w:pPr>
              <w:keepNext/>
              <w:spacing w:after="80" w:line="240" w:lineRule="auto"/>
            </w:pPr>
            <w:r>
              <w:rPr>
                <w:rFonts w:ascii="Times New Roman" w:hAnsi="Times New Roman"/>
                <w:color w:val="000000"/>
                <w:sz w:val="18"/>
              </w:rPr>
              <w:t>1,312</w:t>
            </w:r>
          </w:p>
        </w:tc>
        <w:tc>
          <w:tcPr>
            <w:tcW w:type="dxa" w:w="2880"/>
          </w:tcPr>
          <w:p>
            <w:pPr>
              <w:keepNext/>
              <w:spacing w:after="80" w:line="240" w:lineRule="auto"/>
            </w:pPr>
            <w:r>
              <w:rPr>
                <w:rFonts w:ascii="Times New Roman" w:hAnsi="Times New Roman"/>
                <w:color w:val="000000"/>
                <w:sz w:val="18"/>
              </w:rPr>
              <w:t>3.115</w:t>
            </w:r>
          </w:p>
        </w:tc>
        <w:tc>
          <w:tcPr>
            <w:tcW w:type="dxa" w:w="2880"/>
          </w:tcPr>
          <w:p>
            <w:pPr>
              <w:keepNext/>
              <w:spacing w:after="80" w:line="240" w:lineRule="auto"/>
            </w:pPr>
            <w:r>
              <w:rPr>
                <w:rFonts w:ascii="Times New Roman" w:hAnsi="Times New Roman"/>
                <w:color w:val="000000"/>
                <w:sz w:val="18"/>
              </w:rPr>
              <w:t>2.903</w:t>
            </w:r>
          </w:p>
        </w:tc>
      </w:tr>
      <w:tr>
        <w:trPr>
          <w:cantSplit/>
        </w:trPr>
        <w:tc>
          <w:tcPr>
            <w:tcW w:type="dxa" w:w="2160"/>
          </w:tcPr>
          <w:p>
            <w:pPr>
              <w:keepNext/>
              <w:spacing w:after="80" w:line="240" w:lineRule="auto"/>
            </w:pPr>
            <w:r>
              <w:rPr>
                <w:rFonts w:ascii="Times New Roman" w:hAnsi="Times New Roman"/>
                <w:color w:val="000000"/>
                <w:sz w:val="18"/>
              </w:rPr>
              <w:t>2024-25</w:t>
            </w:r>
          </w:p>
        </w:tc>
        <w:tc>
          <w:tcPr>
            <w:tcW w:type="dxa" w:w="1584"/>
          </w:tcPr>
          <w:p>
            <w:pPr>
              <w:keepNext/>
              <w:spacing w:after="80" w:line="240" w:lineRule="auto"/>
            </w:pPr>
            <w:r>
              <w:rPr>
                <w:rFonts w:ascii="Times New Roman" w:hAnsi="Times New Roman"/>
                <w:color w:val="000000"/>
                <w:sz w:val="18"/>
              </w:rPr>
              <w:t>1,312</w:t>
            </w:r>
          </w:p>
        </w:tc>
        <w:tc>
          <w:tcPr>
            <w:tcW w:type="dxa" w:w="2880"/>
          </w:tcPr>
          <w:p>
            <w:pPr>
              <w:keepNext/>
              <w:spacing w:after="80" w:line="240" w:lineRule="auto"/>
            </w:pPr>
            <w:r>
              <w:rPr>
                <w:rFonts w:ascii="Times New Roman" w:hAnsi="Times New Roman"/>
                <w:color w:val="000000"/>
                <w:sz w:val="18"/>
              </w:rPr>
              <w:t>3.089</w:t>
            </w:r>
          </w:p>
        </w:tc>
        <w:tc>
          <w:tcPr>
            <w:tcW w:type="dxa" w:w="2880"/>
          </w:tcPr>
          <w:p>
            <w:pPr>
              <w:keepNext/>
              <w:spacing w:after="80" w:line="240" w:lineRule="auto"/>
            </w:pPr>
            <w:r>
              <w:rPr>
                <w:rFonts w:ascii="Times New Roman" w:hAnsi="Times New Roman"/>
                <w:color w:val="000000"/>
                <w:sz w:val="18"/>
              </w:rPr>
              <w:t>2.785</w:t>
            </w:r>
          </w:p>
        </w:tc>
      </w:tr>
    </w:tbl>
    <w:p/>
    <w:p>
      <w:pPr>
        <w:keepLines/>
      </w:pPr>
      <w:r>
        <w:t>Table 2. Included game counts and regulation-goal means. The 2019-20 count reflects the one incomplete-source exclusion. Shortened and disrupted seasons remain explicit temporal folds.</w:t>
      </w:r>
    </w:p>
    <w:p>
      <w:pPr>
        <w:keepNext/>
      </w:pPr>
      <w:r>
        <w:drawing>
          <wp:inline xmlns:a="http://schemas.openxmlformats.org/drawingml/2006/main" xmlns:pic="http://schemas.openxmlformats.org/drawingml/2006/picture">
            <wp:extent cx="6035040" cy="2933700"/>
            <wp:docPr id="1" name="Picture 1"/>
            <wp:cNvGraphicFramePr>
              <a:graphicFrameLocks noChangeAspect="1"/>
            </wp:cNvGraphicFramePr>
            <a:graphic>
              <a:graphicData uri="http://schemas.openxmlformats.org/drawingml/2006/picture">
                <pic:pic>
                  <pic:nvPicPr>
                    <pic:cNvPr id="0" name="scoring-by-season.png"/>
                    <pic:cNvPicPr/>
                  </pic:nvPicPr>
                  <pic:blipFill>
                    <a:blip r:embed="rId10"/>
                    <a:stretch>
                      <a:fillRect/>
                    </a:stretch>
                  </pic:blipFill>
                  <pic:spPr>
                    <a:xfrm>
                      <a:off x="0" y="0"/>
                      <a:ext cx="6035040" cy="2933700"/>
                    </a:xfrm>
                    <a:prstGeom prst="rect"/>
                  </pic:spPr>
                </pic:pic>
              </a:graphicData>
            </a:graphic>
          </wp:inline>
        </w:drawing>
      </w:r>
    </w:p>
    <w:p>
      <w:pPr>
        <w:spacing w:after="200"/>
      </w:pPr>
      <w:r>
        <w:rPr>
          <w:i/>
          <w:sz w:val="18"/>
        </w:rPr>
        <w:t>Figure 1. Scoring environments vary over time. Each season is summarized after the study configurations were frozen; holdout summaries did not guide model selection.</w:t>
      </w:r>
    </w:p>
    <w:p>
      <w:pPr>
        <w:pStyle w:val="Heading2"/>
      </w:pPr>
      <w:r>
        <w:t>4.1 Features and historical availability</w:t>
      </w:r>
    </w:p>
    <w:p>
      <w:pPr>
        <w:keepLines/>
      </w:pPr>
      <w:r>
        <w:t>All features are emitted before any current-date game updates history. Every game sharing the same source calendar date belongs to one batch. The history includes strictly earlier dates, a stronger separation than a simple row shift when multiple games occur on one day.</w:t>
      </w:r>
    </w:p>
    <w:p>
      <w:pPr>
        <w:keepLines/>
      </w:pPr>
      <w:r>
        <w:t>The recent-form window contains up to 20 preceding included regular-season games. Ten fixed prior games provide shrinkage at 2.7 goals, 30 shots and 55 attempts per side. Histories carry between seasons. Expansion or renamed teams use the pooled cold-start prior; the first version treats ARI and UTA as different labels rather than imposing an unverified franchise continuation.</w:t>
      </w:r>
    </w:p>
    <w:p>
      <w:pPr>
        <w:keepLines/>
      </w:pPr>
      <w:r>
        <w:t>Predictors include a home indicator, team and opponent goals for/against, shots for/against, team attempts for and opponent attempts against, days since the previous included game capped at seven, history size and an expanding side-specific league scoring rate. Goals use regulation targets, while historical shot and attempt totals may include overtime. This exposure mismatch is disclosed rather than hidden.</w:t>
      </w:r>
    </w:p>
    <w:p>
      <w:pPr>
        <w:keepLines/>
      </w:pPr>
      <w:r>
        <w:t>The source gameDate field supplies a calendar ordering, not an exact UTC prediction timestamp. The pipeline therefore verifies date exclusion without pretending to verify historical publication times. Current downloadable data may contain later corrections. The study should be read as a conservative retrospective date-based forecast comparison, with a further operational audit required for live pregame deployment.</w:t>
      </w:r>
    </w:p>
    <w:p>
      <w:r>
        <w:br w:type="page"/>
      </w:r>
    </w:p>
    <w:p>
      <w:pPr>
        <w:pStyle w:val="Heading1"/>
      </w:pPr>
      <w:r>
        <w:t>5 Temporal validation and methods</w:t>
      </w:r>
    </w:p>
    <w:p>
      <w:pPr>
        <w:keepLines/>
      </w:pPr>
      <w:r>
        <w:t>The foundation contains 2016-17 through 2018-19. Outer validation seasons are 2019-20 through 2023-24. Each outer model is fitted using earlier seasons only. Within its training period, the most recent earlier season is an inner validation window for the fixed hyperparameter search; all preceding seasons form the inner fit.</w:t>
      </w:r>
    </w:p>
    <w:p>
      <w:pPr>
        <w:keepLines/>
      </w:pPr>
      <w:r>
        <w:t>Scalers, encoders and coefficients are fitted separately within each training window. The chosen inner configuration is refitted using the complete outer training set. Coefficients remain fixed during the outer season, while rolling history and league-rate predictors can update from games on earlier dates in that season. This emulates sequential forecasting with a season-level refit schedule.</w:t>
      </w:r>
    </w:p>
    <w:p>
      <w:pPr>
        <w:keepLines/>
      </w:pPr>
      <w:r>
        <w:t>The final 2024-25 season is evaluated after development selects a model family and all final configurations are frozen. Final hyperparameters use 2023-24 as inner validation and training through 2022-23, followed by a refit through 2023-24. No feature or tuning choice is changed after the holdout scores are observed. The 2025-26 season remains reserved for a future extension.</w:t>
      </w:r>
    </w:p>
    <w:p>
      <w:pPr>
        <w:keepLines/>
      </w:pPr>
      <w:r>
        <w:t>The protocol was committed before development comparisons. It is a retrospective repository protocol, not an externally registered study. The final family selector used the smallest game-weighted development NLL. Independent and bivariate Poisson achieved an exact numerical tie; the implementation’s ordering selected the bivariate label. Its fitted shared component is zero, so that choice is not evidence favoring dependence.</w:t>
      </w:r>
    </w:p>
    <w:p>
      <w:pPr>
        <w:keepNext/>
      </w:pPr>
      <w:r>
        <w:drawing>
          <wp:inline xmlns:a="http://schemas.openxmlformats.org/drawingml/2006/main" xmlns:pic="http://schemas.openxmlformats.org/drawingml/2006/picture">
            <wp:extent cx="6035040" cy="2598420"/>
            <wp:docPr id="2" name="Picture 2"/>
            <wp:cNvGraphicFramePr>
              <a:graphicFrameLocks noChangeAspect="1"/>
            </wp:cNvGraphicFramePr>
            <a:graphic>
              <a:graphicData uri="http://schemas.openxmlformats.org/drawingml/2006/picture">
                <pic:pic>
                  <pic:nvPicPr>
                    <pic:cNvPr id="0" name="temporal-validation.png"/>
                    <pic:cNvPicPr/>
                  </pic:nvPicPr>
                  <pic:blipFill>
                    <a:blip r:embed="rId11"/>
                    <a:stretch>
                      <a:fillRect/>
                    </a:stretch>
                  </pic:blipFill>
                  <pic:spPr>
                    <a:xfrm>
                      <a:off x="0" y="0"/>
                      <a:ext cx="6035040" cy="2598420"/>
                    </a:xfrm>
                    <a:prstGeom prst="rect"/>
                  </pic:spPr>
                </pic:pic>
              </a:graphicData>
            </a:graphic>
          </wp:inline>
        </w:drawing>
      </w:r>
    </w:p>
    <w:p>
      <w:pPr>
        <w:spacing w:after="200"/>
      </w:pPr>
      <w:r>
        <w:rPr>
          <w:i/>
          <w:sz w:val="18"/>
        </w:rPr>
        <w:t>Figure 2. Each evaluation season follows its training period. Inner model selection occurs entirely within the shaded training window. The final holdout was used only after freezing configurations.</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4824"/>
        <w:gridCol w:w="4824"/>
      </w:tblGrid>
      <w:tr>
        <w:trPr>
          <w:tblHeader/>
          <w:cantSplit/>
        </w:trPr>
        <w:tc>
          <w:tcPr>
            <w:tcW w:type="dxa" w:w="3024"/>
            <w:shd w:fill="E7E7E7"/>
          </w:tcPr>
          <w:p>
            <w:pPr>
              <w:keepNext/>
              <w:spacing w:after="80" w:line="240" w:lineRule="auto"/>
            </w:pPr>
            <w:r>
              <w:rPr>
                <w:rFonts w:ascii="Times New Roman" w:hAnsi="Times New Roman"/>
                <w:b/>
                <w:color w:val="000000"/>
                <w:sz w:val="18"/>
              </w:rPr>
              <w:t>Model</w:t>
            </w:r>
          </w:p>
        </w:tc>
        <w:tc>
          <w:tcPr>
            <w:tcW w:type="dxa" w:w="6480"/>
            <w:shd w:fill="E7E7E7"/>
          </w:tcPr>
          <w:p>
            <w:pPr>
              <w:keepNext/>
              <w:spacing w:after="80" w:line="240" w:lineRule="auto"/>
            </w:pPr>
            <w:r>
              <w:rPr>
                <w:rFonts w:ascii="Times New Roman" w:hAnsi="Times New Roman"/>
                <w:b/>
                <w:color w:val="000000"/>
                <w:sz w:val="18"/>
              </w:rPr>
              <w:t>Estimator and frozen search</w:t>
            </w:r>
          </w:p>
        </w:tc>
      </w:tr>
      <w:tr>
        <w:trPr>
          <w:cantSplit/>
        </w:trPr>
        <w:tc>
          <w:tcPr>
            <w:tcW w:type="dxa" w:w="3024"/>
          </w:tcPr>
          <w:p>
            <w:pPr>
              <w:keepNext/>
              <w:spacing w:after="80" w:line="240" w:lineRule="auto"/>
            </w:pPr>
            <w:r>
              <w:rPr>
                <w:rFonts w:ascii="Times New Roman" w:hAnsi="Times New Roman"/>
                <w:color w:val="000000"/>
                <w:sz w:val="18"/>
              </w:rPr>
              <w:t>League Poisson</w:t>
            </w:r>
          </w:p>
        </w:tc>
        <w:tc>
          <w:tcPr>
            <w:tcW w:type="dxa" w:w="6480"/>
          </w:tcPr>
          <w:p>
            <w:pPr>
              <w:keepNext/>
              <w:spacing w:after="80" w:line="240" w:lineRule="auto"/>
            </w:pPr>
            <w:r>
              <w:rPr>
                <w:rFonts w:ascii="Times New Roman" w:hAnsi="Times New Roman"/>
                <w:color w:val="000000"/>
                <w:sz w:val="18"/>
              </w:rPr>
              <w:t>Expanding earlier-date home/away means</w:t>
            </w:r>
          </w:p>
        </w:tc>
      </w:tr>
      <w:tr>
        <w:trPr>
          <w:cantSplit/>
        </w:trPr>
        <w:tc>
          <w:tcPr>
            <w:tcW w:type="dxa" w:w="3024"/>
          </w:tcPr>
          <w:p>
            <w:pPr>
              <w:keepNext/>
              <w:spacing w:after="80" w:line="240" w:lineRule="auto"/>
            </w:pPr>
            <w:r>
              <w:rPr>
                <w:rFonts w:ascii="Times New Roman" w:hAnsi="Times New Roman"/>
                <w:color w:val="000000"/>
                <w:sz w:val="18"/>
              </w:rPr>
              <w:t>Rolling Poisson</w:t>
            </w:r>
          </w:p>
        </w:tc>
        <w:tc>
          <w:tcPr>
            <w:tcW w:type="dxa" w:w="6480"/>
          </w:tcPr>
          <w:p>
            <w:pPr>
              <w:keepNext/>
              <w:spacing w:after="80" w:line="240" w:lineRule="auto"/>
            </w:pPr>
            <w:r>
              <w:rPr>
                <w:rFonts w:ascii="Times New Roman" w:hAnsi="Times New Roman"/>
                <w:color w:val="000000"/>
                <w:sz w:val="18"/>
              </w:rPr>
              <w:t>Smoothed attack and opponent-defence average</w:t>
            </w:r>
          </w:p>
        </w:tc>
      </w:tr>
      <w:tr>
        <w:trPr>
          <w:cantSplit/>
        </w:trPr>
        <w:tc>
          <w:tcPr>
            <w:tcW w:type="dxa" w:w="3024"/>
          </w:tcPr>
          <w:p>
            <w:pPr>
              <w:keepNext/>
              <w:spacing w:after="80" w:line="240" w:lineRule="auto"/>
            </w:pPr>
            <w:r>
              <w:rPr>
                <w:rFonts w:ascii="Times New Roman" w:hAnsi="Times New Roman"/>
                <w:color w:val="000000"/>
                <w:sz w:val="18"/>
              </w:rPr>
              <w:t>Ridge proxy</w:t>
            </w:r>
          </w:p>
        </w:tc>
        <w:tc>
          <w:tcPr>
            <w:tcW w:type="dxa" w:w="6480"/>
          </w:tcPr>
          <w:p>
            <w:pPr>
              <w:keepNext/>
              <w:spacing w:after="80" w:line="240" w:lineRule="auto"/>
            </w:pPr>
            <w:r>
              <w:rPr>
                <w:rFonts w:ascii="Times New Roman" w:hAnsi="Times New Roman"/>
                <w:color w:val="000000"/>
                <w:sz w:val="18"/>
              </w:rPr>
              <w:t>L2 penalties 1, 10, 100; Poisson probability margins</w:t>
            </w:r>
          </w:p>
        </w:tc>
      </w:tr>
      <w:tr>
        <w:trPr>
          <w:cantSplit/>
        </w:trPr>
        <w:tc>
          <w:tcPr>
            <w:tcW w:type="dxa" w:w="3024"/>
          </w:tcPr>
          <w:p>
            <w:pPr>
              <w:keepNext/>
              <w:spacing w:after="80" w:line="240" w:lineRule="auto"/>
            </w:pPr>
            <w:r>
              <w:rPr>
                <w:rFonts w:ascii="Times New Roman" w:hAnsi="Times New Roman"/>
                <w:color w:val="000000"/>
                <w:sz w:val="18"/>
              </w:rPr>
              <w:t>Independent Poisson</w:t>
            </w:r>
          </w:p>
        </w:tc>
        <w:tc>
          <w:tcPr>
            <w:tcW w:type="dxa" w:w="6480"/>
          </w:tcPr>
          <w:p>
            <w:pPr>
              <w:keepNext/>
              <w:spacing w:after="80" w:line="240" w:lineRule="auto"/>
            </w:pPr>
            <w:r>
              <w:rPr>
                <w:rFonts w:ascii="Times New Roman" w:hAnsi="Times New Roman"/>
                <w:color w:val="000000"/>
                <w:sz w:val="18"/>
              </w:rPr>
              <w:t>Log link; L2 penalties 0.01, 0.1, 1</w:t>
            </w:r>
          </w:p>
        </w:tc>
      </w:tr>
      <w:tr>
        <w:trPr>
          <w:cantSplit/>
        </w:trPr>
        <w:tc>
          <w:tcPr>
            <w:tcW w:type="dxa" w:w="3024"/>
          </w:tcPr>
          <w:p>
            <w:pPr>
              <w:keepNext/>
              <w:spacing w:after="80" w:line="240" w:lineRule="auto"/>
            </w:pPr>
            <w:r>
              <w:rPr>
                <w:rFonts w:ascii="Times New Roman" w:hAnsi="Times New Roman"/>
                <w:color w:val="000000"/>
                <w:sz w:val="18"/>
              </w:rPr>
              <w:t>Negative binomial</w:t>
            </w:r>
          </w:p>
        </w:tc>
        <w:tc>
          <w:tcPr>
            <w:tcW w:type="dxa" w:w="6480"/>
          </w:tcPr>
          <w:p>
            <w:pPr>
              <w:keepNext/>
              <w:spacing w:after="80" w:line="240" w:lineRule="auto"/>
            </w:pPr>
            <w:r>
              <w:rPr>
                <w:rFonts w:ascii="Times New Roman" w:hAnsi="Times New Roman"/>
                <w:color w:val="000000"/>
                <w:sz w:val="18"/>
              </w:rPr>
              <w:t>NB2 log link; penalties 0.01, 0.1; estimated dispersion</w:t>
            </w:r>
          </w:p>
        </w:tc>
      </w:tr>
      <w:tr>
        <w:trPr>
          <w:cantSplit/>
        </w:trPr>
        <w:tc>
          <w:tcPr>
            <w:tcW w:type="dxa" w:w="3024"/>
          </w:tcPr>
          <w:p>
            <w:pPr>
              <w:keepNext/>
              <w:spacing w:after="80" w:line="240" w:lineRule="auto"/>
            </w:pPr>
            <w:r>
              <w:rPr>
                <w:rFonts w:ascii="Times New Roman" w:hAnsi="Times New Roman"/>
                <w:color w:val="000000"/>
                <w:sz w:val="18"/>
              </w:rPr>
              <w:t>Attack and defence</w:t>
            </w:r>
          </w:p>
        </w:tc>
        <w:tc>
          <w:tcPr>
            <w:tcW w:type="dxa" w:w="6480"/>
          </w:tcPr>
          <w:p>
            <w:pPr>
              <w:keepNext/>
              <w:spacing w:after="80" w:line="240" w:lineRule="auto"/>
            </w:pPr>
            <w:r>
              <w:rPr>
                <w:rFonts w:ascii="Times New Roman" w:hAnsi="Times New Roman"/>
                <w:color w:val="000000"/>
                <w:sz w:val="18"/>
              </w:rPr>
              <w:t>Team/opponent indicators; shared home effect; L2 shrinkage</w:t>
            </w:r>
          </w:p>
        </w:tc>
      </w:tr>
      <w:tr>
        <w:trPr>
          <w:cantSplit/>
        </w:trPr>
        <w:tc>
          <w:tcPr>
            <w:tcW w:type="dxa" w:w="3024"/>
          </w:tcPr>
          <w:p>
            <w:pPr>
              <w:keepNext/>
              <w:spacing w:after="80" w:line="240" w:lineRule="auto"/>
            </w:pPr>
            <w:r>
              <w:rPr>
                <w:rFonts w:ascii="Times New Roman" w:hAnsi="Times New Roman"/>
                <w:color w:val="000000"/>
                <w:sz w:val="18"/>
              </w:rPr>
              <w:t>Bivariate Poisson</w:t>
            </w:r>
          </w:p>
        </w:tc>
        <w:tc>
          <w:tcPr>
            <w:tcW w:type="dxa" w:w="6480"/>
          </w:tcPr>
          <w:p>
            <w:pPr>
              <w:keepNext/>
              <w:spacing w:after="80" w:line="240" w:lineRule="auto"/>
            </w:pPr>
            <w:r>
              <w:rPr>
                <w:rFonts w:ascii="Times New Roman" w:hAnsi="Times New Roman"/>
                <w:color w:val="000000"/>
                <w:sz w:val="18"/>
              </w:rPr>
              <w:t>Poisson means plus training-estimated nonnegative shared component</w:t>
            </w:r>
          </w:p>
        </w:tc>
      </w:tr>
      <w:tr>
        <w:trPr>
          <w:cantSplit/>
        </w:trPr>
        <w:tc>
          <w:tcPr>
            <w:tcW w:type="dxa" w:w="3024"/>
          </w:tcPr>
          <w:p>
            <w:pPr>
              <w:keepNext/>
              <w:spacing w:after="80" w:line="240" w:lineRule="auto"/>
            </w:pPr>
            <w:r>
              <w:rPr>
                <w:rFonts w:ascii="Times New Roman" w:hAnsi="Times New Roman"/>
                <w:color w:val="000000"/>
                <w:sz w:val="18"/>
              </w:rPr>
              <w:t>Poisson boosting</w:t>
            </w:r>
          </w:p>
        </w:tc>
        <w:tc>
          <w:tcPr>
            <w:tcW w:type="dxa" w:w="6480"/>
          </w:tcPr>
          <w:p>
            <w:pPr>
              <w:keepNext/>
              <w:spacing w:after="80" w:line="240" w:lineRule="auto"/>
            </w:pPr>
            <w:r>
              <w:rPr>
                <w:rFonts w:ascii="Times New Roman" w:hAnsi="Times New Roman"/>
                <w:color w:val="000000"/>
                <w:sz w:val="18"/>
              </w:rPr>
              <w:t>7 or 15 leaves; 100 or 200 iterations; no random early-stopping split</w:t>
            </w:r>
          </w:p>
        </w:tc>
      </w:tr>
      <w:tr>
        <w:trPr>
          <w:cantSplit/>
        </w:trPr>
        <w:tc>
          <w:tcPr>
            <w:tcW w:type="dxa" w:w="3024"/>
          </w:tcPr>
          <w:p>
            <w:pPr>
              <w:keepNext/>
              <w:spacing w:after="80" w:line="240" w:lineRule="auto"/>
            </w:pPr>
            <w:r>
              <w:rPr>
                <w:rFonts w:ascii="Times New Roman" w:hAnsi="Times New Roman"/>
                <w:color w:val="000000"/>
                <w:sz w:val="18"/>
              </w:rPr>
              <w:t>Forest proxy</w:t>
            </w:r>
          </w:p>
        </w:tc>
        <w:tc>
          <w:tcPr>
            <w:tcW w:type="dxa" w:w="6480"/>
          </w:tcPr>
          <w:p>
            <w:pPr>
              <w:keepNext/>
              <w:spacing w:after="80" w:line="240" w:lineRule="auto"/>
            </w:pPr>
            <w:r>
              <w:rPr>
                <w:rFonts w:ascii="Times New Roman" w:hAnsi="Times New Roman"/>
                <w:color w:val="000000"/>
                <w:sz w:val="18"/>
              </w:rPr>
              <w:t>250 trees; minimum leaf 20 or 50; Poisson probability margins</w:t>
            </w:r>
          </w:p>
        </w:tc>
      </w:tr>
    </w:tbl>
    <w:p/>
    <w:p>
      <w:pPr>
        <w:keepLines/>
      </w:pPr>
      <w:r>
        <w:t>Table 3. Each model’s search space was fixed before comparison. The penalized attack/defence model supplies shrinkage but does not produce a Bayesian posterior. The tree implementations follow the documented software API [10].</w:t>
      </w:r>
    </w:p>
    <w:p>
      <w:pPr>
        <w:pStyle w:val="Heading2"/>
      </w:pPr>
      <w:r>
        <w:t>5.1 Scores and comparison uncertainty</w:t>
      </w:r>
    </w:p>
    <w:p>
      <w:pPr>
        <w:keepLines/>
      </w:pPr>
      <w:r>
        <w:t>Primary loss is mean joint negative log likelihood per game, measured using natural logarithms. Lower values are better. Joint NLL uses the model’s untruncated count probability at the realized score. MAE and RMSE are reported on a per-team-game scale, with side-specific errors and bias retained in the aggregate tables.</w:t>
      </w:r>
    </w:p>
    <w:p>
      <w:pPr>
        <w:keepLines/>
      </w:pPr>
      <w:r>
        <w:t>Regulation home/draw/away probabilities are derived by summing joint score mass on a 0 to 35 grid. The implementation rejects a grid with material omitted probability mass. The Brier score is the mean sum of squared errors across the three outcome probabilities; it is not divided by the number of classes.</w:t>
      </w:r>
    </w:p>
    <w:p>
      <w:pPr>
        <w:keepLines/>
      </w:pPr>
      <w:r>
        <w:t>Central 90% marginal intervals use discrete 5th and 95th percentiles. Their attainable coverage need not equal 90% exactly. Coverage is reported with interval width so that broad intervals are not mistaken for better information. Interval coverage alone is not a complete calibration test.</w:t>
      </w:r>
    </w:p>
    <w:p>
      <w:pPr>
        <w:keepLines/>
      </w:pPr>
      <w:r>
        <w:t>Paired bootstrap comparisons resample whole calendar weeks, preserving each game’s model pairing. Two thousand replicates form percentile intervals for NLL differences. Week blocks reduce within-week dependence but do not remove all repeated-team dependence across weeks. The intervals are conditional descriptive comparisons for this single final season, not universal performance guarantees.</w:t>
      </w:r>
    </w:p>
    <w:p>
      <w:r>
        <w:br w:type="page"/>
      </w:r>
    </w:p>
    <w:p>
      <w:pPr>
        <w:pStyle w:val="Heading1"/>
      </w:pPr>
      <w:r>
        <w:t>6 Development results</w:t>
      </w:r>
    </w:p>
    <w:p>
      <w:pPr>
        <w:keepLines/>
      </w:pPr>
      <w:r>
        <w:t>The five outer seasons contain 5,885 evaluation games. Development comparisons consistently show that recent-form regularized predictors can improve joint score over a pooled league-rate forecast, while gains depend on the season. This variation matters more than a single pooled ranking.</w:t>
      </w:r>
    </w:p>
    <w:p>
      <w:pPr>
        <w:keepLines/>
      </w:pPr>
      <w:r>
        <w:t>The highest-scoring environment is not necessarily the most predictable. Model error reflects both changes in mean scoring and the residual variation around each forecast. Seasonal refitting and expanding league rates address only part of that variation.</w:t>
      </w:r>
    </w:p>
    <w:p>
      <w:pPr>
        <w:keepLines/>
      </w:pPr>
      <w:r>
        <w:t>The bivariate extension returns zero shared dependence in every reported outer fit. It therefore has the same joint probabilities and NLL as independent Poisson. The negative-binomial dispersion is small in the final fit and does not yield a clear improvement. More distributional flexibility has not earned a distinct advantage in this implementation.</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4752"/>
            <w:shd w:fill="E7E7E7"/>
          </w:tcPr>
          <w:p>
            <w:pPr>
              <w:keepNext/>
              <w:spacing w:after="80" w:line="240" w:lineRule="auto"/>
            </w:pPr>
            <w:r>
              <w:rPr>
                <w:rFonts w:ascii="Times New Roman" w:hAnsi="Times New Roman"/>
                <w:b/>
                <w:color w:val="000000"/>
                <w:sz w:val="18"/>
              </w:rPr>
              <w:t>Model</w:t>
            </w:r>
          </w:p>
        </w:tc>
        <w:tc>
          <w:tcPr>
            <w:tcW w:type="dxa" w:w="3024"/>
            <w:shd w:fill="E7E7E7"/>
          </w:tcPr>
          <w:p>
            <w:pPr>
              <w:keepNext/>
              <w:spacing w:after="80" w:line="240" w:lineRule="auto"/>
            </w:pPr>
            <w:r>
              <w:rPr>
                <w:rFonts w:ascii="Times New Roman" w:hAnsi="Times New Roman"/>
                <w:b/>
                <w:color w:val="000000"/>
                <w:sz w:val="18"/>
              </w:rPr>
              <w:t>Development joint NLL</w:t>
            </w:r>
          </w:p>
        </w:tc>
        <w:tc>
          <w:tcPr>
            <w:tcW w:type="dxa" w:w="1728"/>
            <w:shd w:fill="E7E7E7"/>
          </w:tcPr>
          <w:p>
            <w:pPr>
              <w:keepNext/>
              <w:spacing w:after="80" w:line="240" w:lineRule="auto"/>
            </w:pPr>
            <w:r>
              <w:rPr>
                <w:rFonts w:ascii="Times New Roman" w:hAnsi="Times New Roman"/>
                <w:b/>
                <w:color w:val="000000"/>
                <w:sz w:val="18"/>
              </w:rPr>
              <w:t>Evaluation games</w:t>
            </w:r>
          </w:p>
        </w:tc>
      </w:tr>
      <w:tr>
        <w:trPr>
          <w:cantSplit/>
        </w:trPr>
        <w:tc>
          <w:tcPr>
            <w:tcW w:type="dxa" w:w="4752"/>
          </w:tcPr>
          <w:p>
            <w:pPr>
              <w:keepNext/>
              <w:spacing w:after="80" w:line="240" w:lineRule="auto"/>
            </w:pPr>
            <w:r>
              <w:rPr>
                <w:rFonts w:ascii="Times New Roman" w:hAnsi="Times New Roman"/>
                <w:color w:val="000000"/>
                <w:sz w:val="18"/>
              </w:rPr>
              <w:t>Bivariate Poisson</w:t>
            </w:r>
          </w:p>
        </w:tc>
        <w:tc>
          <w:tcPr>
            <w:tcW w:type="dxa" w:w="3024"/>
          </w:tcPr>
          <w:p>
            <w:pPr>
              <w:keepNext/>
              <w:spacing w:after="80" w:line="240" w:lineRule="auto"/>
            </w:pPr>
            <w:r>
              <w:rPr>
                <w:rFonts w:ascii="Times New Roman" w:hAnsi="Times New Roman"/>
                <w:color w:val="000000"/>
                <w:sz w:val="18"/>
              </w:rPr>
              <w:t>3.82982</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Independent Poisson</w:t>
            </w:r>
          </w:p>
        </w:tc>
        <w:tc>
          <w:tcPr>
            <w:tcW w:type="dxa" w:w="3024"/>
          </w:tcPr>
          <w:p>
            <w:pPr>
              <w:keepNext/>
              <w:spacing w:after="80" w:line="240" w:lineRule="auto"/>
            </w:pPr>
            <w:r>
              <w:rPr>
                <w:rFonts w:ascii="Times New Roman" w:hAnsi="Times New Roman"/>
                <w:color w:val="000000"/>
                <w:sz w:val="18"/>
              </w:rPr>
              <w:t>3.82982</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Ridge Poisson proxy</w:t>
            </w:r>
          </w:p>
        </w:tc>
        <w:tc>
          <w:tcPr>
            <w:tcW w:type="dxa" w:w="3024"/>
          </w:tcPr>
          <w:p>
            <w:pPr>
              <w:keepNext/>
              <w:spacing w:after="80" w:line="240" w:lineRule="auto"/>
            </w:pPr>
            <w:r>
              <w:rPr>
                <w:rFonts w:ascii="Times New Roman" w:hAnsi="Times New Roman"/>
                <w:color w:val="000000"/>
                <w:sz w:val="18"/>
              </w:rPr>
              <w:t>3.82986</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Negative binomial</w:t>
            </w:r>
          </w:p>
        </w:tc>
        <w:tc>
          <w:tcPr>
            <w:tcW w:type="dxa" w:w="3024"/>
          </w:tcPr>
          <w:p>
            <w:pPr>
              <w:keepNext/>
              <w:spacing w:after="80" w:line="240" w:lineRule="auto"/>
            </w:pPr>
            <w:r>
              <w:rPr>
                <w:rFonts w:ascii="Times New Roman" w:hAnsi="Times New Roman"/>
                <w:color w:val="000000"/>
                <w:sz w:val="18"/>
              </w:rPr>
              <w:t>3.82992</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Forest Poisson proxy</w:t>
            </w:r>
          </w:p>
        </w:tc>
        <w:tc>
          <w:tcPr>
            <w:tcW w:type="dxa" w:w="3024"/>
          </w:tcPr>
          <w:p>
            <w:pPr>
              <w:keepNext/>
              <w:spacing w:after="80" w:line="240" w:lineRule="auto"/>
            </w:pPr>
            <w:r>
              <w:rPr>
                <w:rFonts w:ascii="Times New Roman" w:hAnsi="Times New Roman"/>
                <w:color w:val="000000"/>
                <w:sz w:val="18"/>
              </w:rPr>
              <w:t>3.83700</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Poisson boosting</w:t>
            </w:r>
          </w:p>
        </w:tc>
        <w:tc>
          <w:tcPr>
            <w:tcW w:type="dxa" w:w="3024"/>
          </w:tcPr>
          <w:p>
            <w:pPr>
              <w:keepNext/>
              <w:spacing w:after="80" w:line="240" w:lineRule="auto"/>
            </w:pPr>
            <w:r>
              <w:rPr>
                <w:rFonts w:ascii="Times New Roman" w:hAnsi="Times New Roman"/>
                <w:color w:val="000000"/>
                <w:sz w:val="18"/>
              </w:rPr>
              <w:t>3.83926</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Rolling Poisson</w:t>
            </w:r>
          </w:p>
        </w:tc>
        <w:tc>
          <w:tcPr>
            <w:tcW w:type="dxa" w:w="3024"/>
          </w:tcPr>
          <w:p>
            <w:pPr>
              <w:keepNext/>
              <w:spacing w:after="80" w:line="240" w:lineRule="auto"/>
            </w:pPr>
            <w:r>
              <w:rPr>
                <w:rFonts w:ascii="Times New Roman" w:hAnsi="Times New Roman"/>
                <w:color w:val="000000"/>
                <w:sz w:val="18"/>
              </w:rPr>
              <w:t>3.85011</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Attack and defence Poisson</w:t>
            </w:r>
          </w:p>
        </w:tc>
        <w:tc>
          <w:tcPr>
            <w:tcW w:type="dxa" w:w="3024"/>
          </w:tcPr>
          <w:p>
            <w:pPr>
              <w:keepNext/>
              <w:spacing w:after="80" w:line="240" w:lineRule="auto"/>
            </w:pPr>
            <w:r>
              <w:rPr>
                <w:rFonts w:ascii="Times New Roman" w:hAnsi="Times New Roman"/>
                <w:color w:val="000000"/>
                <w:sz w:val="18"/>
              </w:rPr>
              <w:t>3.85376</w:t>
            </w:r>
          </w:p>
        </w:tc>
        <w:tc>
          <w:tcPr>
            <w:tcW w:type="dxa" w:w="1728"/>
          </w:tcPr>
          <w:p>
            <w:pPr>
              <w:keepNext/>
              <w:spacing w:after="80" w:line="240" w:lineRule="auto"/>
            </w:pPr>
            <w:r>
              <w:rPr>
                <w:rFonts w:ascii="Times New Roman" w:hAnsi="Times New Roman"/>
                <w:color w:val="000000"/>
                <w:sz w:val="18"/>
              </w:rPr>
              <w:t>5,885</w:t>
            </w:r>
          </w:p>
        </w:tc>
      </w:tr>
      <w:tr>
        <w:trPr>
          <w:cantSplit/>
        </w:trPr>
        <w:tc>
          <w:tcPr>
            <w:tcW w:type="dxa" w:w="4752"/>
          </w:tcPr>
          <w:p>
            <w:pPr>
              <w:keepNext/>
              <w:spacing w:after="80" w:line="240" w:lineRule="auto"/>
            </w:pPr>
            <w:r>
              <w:rPr>
                <w:rFonts w:ascii="Times New Roman" w:hAnsi="Times New Roman"/>
                <w:color w:val="000000"/>
                <w:sz w:val="18"/>
              </w:rPr>
              <w:t>League Poisson</w:t>
            </w:r>
          </w:p>
        </w:tc>
        <w:tc>
          <w:tcPr>
            <w:tcW w:type="dxa" w:w="3024"/>
          </w:tcPr>
          <w:p>
            <w:pPr>
              <w:keepNext/>
              <w:spacing w:after="80" w:line="240" w:lineRule="auto"/>
            </w:pPr>
            <w:r>
              <w:rPr>
                <w:rFonts w:ascii="Times New Roman" w:hAnsi="Times New Roman"/>
                <w:color w:val="000000"/>
                <w:sz w:val="18"/>
              </w:rPr>
              <w:t>3.87329</w:t>
            </w:r>
          </w:p>
        </w:tc>
        <w:tc>
          <w:tcPr>
            <w:tcW w:type="dxa" w:w="1728"/>
          </w:tcPr>
          <w:p>
            <w:pPr>
              <w:keepNext/>
              <w:spacing w:after="80" w:line="240" w:lineRule="auto"/>
            </w:pPr>
            <w:r>
              <w:rPr>
                <w:rFonts w:ascii="Times New Roman" w:hAnsi="Times New Roman"/>
                <w:color w:val="000000"/>
                <w:sz w:val="18"/>
              </w:rPr>
              <w:t>5,885</w:t>
            </w:r>
          </w:p>
        </w:tc>
      </w:tr>
    </w:tbl>
    <w:p/>
    <w:p>
      <w:pPr>
        <w:keepLines/>
      </w:pPr>
      <w:r>
        <w:t>Table 4. Game-weighted mean joint NLL across the five outer development seasons. The equal independent/bivariate scores represent the same forecasts rather than two distinct successful models.</w:t>
      </w:r>
    </w:p>
    <w:p>
      <w:pPr>
        <w:keepNext/>
      </w:pPr>
      <w:r>
        <w:drawing>
          <wp:inline xmlns:a="http://schemas.openxmlformats.org/drawingml/2006/main" xmlns:pic="http://schemas.openxmlformats.org/drawingml/2006/picture">
            <wp:extent cx="6035040" cy="3185160"/>
            <wp:docPr id="3" name="Picture 3"/>
            <wp:cNvGraphicFramePr>
              <a:graphicFrameLocks noChangeAspect="1"/>
            </wp:cNvGraphicFramePr>
            <a:graphic>
              <a:graphicData uri="http://schemas.openxmlformats.org/drawingml/2006/picture">
                <pic:pic>
                  <pic:nvPicPr>
                    <pic:cNvPr id="0" name="development-folds.png"/>
                    <pic:cNvPicPr/>
                  </pic:nvPicPr>
                  <pic:blipFill>
                    <a:blip r:embed="rId12"/>
                    <a:stretch>
                      <a:fillRect/>
                    </a:stretch>
                  </pic:blipFill>
                  <pic:spPr>
                    <a:xfrm>
                      <a:off x="0" y="0"/>
                      <a:ext cx="6035040" cy="3185160"/>
                    </a:xfrm>
                    <a:prstGeom prst="rect"/>
                  </pic:spPr>
                </pic:pic>
              </a:graphicData>
            </a:graphic>
          </wp:inline>
        </w:drawing>
      </w:r>
    </w:p>
    <w:p>
      <w:pPr>
        <w:spacing w:after="200"/>
      </w:pPr>
      <w:r>
        <w:rPr>
          <w:i/>
          <w:sz w:val="18"/>
        </w:rPr>
        <w:t>Figure 3. Selected development curves retain the changing difficulty of the temporal folds. All nine variants are tabulated in the repository, including less favorable results.</w:t>
      </w:r>
    </w:p>
    <w:p>
      <w:r>
        <w:br w:type="page"/>
      </w:r>
    </w:p>
    <w:p>
      <w:pPr>
        <w:pStyle w:val="Heading1"/>
      </w:pPr>
      <w:r>
        <w:t>7 Frozen final holdout results</w:t>
      </w:r>
    </w:p>
    <w:p>
      <w:pPr>
        <w:keepLines/>
      </w:pPr>
      <w:r>
        <w:t>The final holdout contains 1,312 games from 2024-25. The frozen bivariate label corresponds to independent Poisson because rho = 0.0. Its joint NLL is 3.85526 versus 3.87545 for the league baseline, an absolute reduction of 0.02019 nats per game.</w:t>
      </w:r>
    </w:p>
    <w:p>
      <w:pPr>
        <w:keepLines/>
      </w:pPr>
      <w:r>
        <w:t>The point-error difference is small. Combined MAE is 1.38806 versus 1.39229, a reduction of 0.00424 goals per team-game. Combined RMSE is 1.72034 versus 1.73687. The appropriate interpretation is a modest probability-quality improvement, not accurate prediction of exact future scores.</w:t>
      </w:r>
    </w:p>
    <w:p>
      <w:pPr>
        <w:keepLines/>
      </w:pPr>
      <w:r>
        <w:t>The ridge Poisson proxy has the smallest numerical holdout NLL, narrowly ahead of the frozen count model. That observation does not authorize changing the primary family after inspecting the final season. The difference is reported alongside the model’s probability-assumption limitation.</w:t>
      </w:r>
    </w:p>
    <w:p>
      <w:pPr>
        <w:keepLines/>
      </w:pPr>
      <w:r>
        <w:t>Poisson boosting and the forest proxy improve NLL relative to the league baseline numerically, but their paired bootstrap intervals cross zero. The categorical attack/defence model provides a smaller and uncertain gain. These findings constrain claims that machine learning or a larger model automatically improves forecasts.</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2412"/>
        <w:gridCol w:w="2412"/>
        <w:gridCol w:w="2412"/>
        <w:gridCol w:w="2412"/>
      </w:tblGrid>
      <w:tr>
        <w:trPr>
          <w:tblHeader/>
          <w:cantSplit/>
        </w:trPr>
        <w:tc>
          <w:tcPr>
            <w:tcW w:type="dxa" w:w="4608"/>
            <w:shd w:fill="E7E7E7"/>
          </w:tcPr>
          <w:p>
            <w:pPr>
              <w:keepNext/>
              <w:spacing w:after="80" w:line="240" w:lineRule="auto"/>
            </w:pPr>
            <w:r>
              <w:rPr>
                <w:rFonts w:ascii="Times New Roman" w:hAnsi="Times New Roman"/>
                <w:b/>
                <w:color w:val="000000"/>
                <w:sz w:val="18"/>
              </w:rPr>
              <w:t>Model</w:t>
            </w:r>
          </w:p>
        </w:tc>
        <w:tc>
          <w:tcPr>
            <w:tcW w:type="dxa" w:w="1656"/>
            <w:shd w:fill="E7E7E7"/>
          </w:tcPr>
          <w:p>
            <w:pPr>
              <w:keepNext/>
              <w:spacing w:after="80" w:line="240" w:lineRule="auto"/>
            </w:pPr>
            <w:r>
              <w:rPr>
                <w:rFonts w:ascii="Times New Roman" w:hAnsi="Times New Roman"/>
                <w:b/>
                <w:color w:val="000000"/>
                <w:sz w:val="18"/>
              </w:rPr>
              <w:t>Joint NLL</w:t>
            </w:r>
          </w:p>
        </w:tc>
        <w:tc>
          <w:tcPr>
            <w:tcW w:type="dxa" w:w="1584"/>
            <w:shd w:fill="E7E7E7"/>
          </w:tcPr>
          <w:p>
            <w:pPr>
              <w:keepNext/>
              <w:spacing w:after="80" w:line="240" w:lineRule="auto"/>
            </w:pPr>
            <w:r>
              <w:rPr>
                <w:rFonts w:ascii="Times New Roman" w:hAnsi="Times New Roman"/>
                <w:b/>
                <w:color w:val="000000"/>
                <w:sz w:val="18"/>
              </w:rPr>
              <w:t>MAE</w:t>
            </w:r>
          </w:p>
        </w:tc>
        <w:tc>
          <w:tcPr>
            <w:tcW w:type="dxa" w:w="1656"/>
            <w:shd w:fill="E7E7E7"/>
          </w:tcPr>
          <w:p>
            <w:pPr>
              <w:keepNext/>
              <w:spacing w:after="80" w:line="240" w:lineRule="auto"/>
            </w:pPr>
            <w:r>
              <w:rPr>
                <w:rFonts w:ascii="Times New Roman" w:hAnsi="Times New Roman"/>
                <w:b/>
                <w:color w:val="000000"/>
                <w:sz w:val="18"/>
              </w:rPr>
              <w:t>RMSE</w:t>
            </w:r>
          </w:p>
        </w:tc>
      </w:tr>
      <w:tr>
        <w:trPr>
          <w:cantSplit/>
        </w:trPr>
        <w:tc>
          <w:tcPr>
            <w:tcW w:type="dxa" w:w="4608"/>
          </w:tcPr>
          <w:p>
            <w:pPr>
              <w:keepNext/>
              <w:spacing w:after="80" w:line="240" w:lineRule="auto"/>
            </w:pPr>
            <w:r>
              <w:rPr>
                <w:rFonts w:ascii="Times New Roman" w:hAnsi="Times New Roman"/>
                <w:color w:val="000000"/>
                <w:sz w:val="18"/>
              </w:rPr>
              <w:t>League Poisson</w:t>
            </w:r>
          </w:p>
        </w:tc>
        <w:tc>
          <w:tcPr>
            <w:tcW w:type="dxa" w:w="1656"/>
          </w:tcPr>
          <w:p>
            <w:pPr>
              <w:keepNext/>
              <w:spacing w:after="80" w:line="240" w:lineRule="auto"/>
            </w:pPr>
            <w:r>
              <w:rPr>
                <w:rFonts w:ascii="Times New Roman" w:hAnsi="Times New Roman"/>
                <w:color w:val="000000"/>
                <w:sz w:val="18"/>
              </w:rPr>
              <w:t>3.87545</w:t>
            </w:r>
          </w:p>
        </w:tc>
        <w:tc>
          <w:tcPr>
            <w:tcW w:type="dxa" w:w="1584"/>
          </w:tcPr>
          <w:p>
            <w:pPr>
              <w:keepNext/>
              <w:spacing w:after="80" w:line="240" w:lineRule="auto"/>
            </w:pPr>
            <w:r>
              <w:rPr>
                <w:rFonts w:ascii="Times New Roman" w:hAnsi="Times New Roman"/>
                <w:color w:val="000000"/>
                <w:sz w:val="18"/>
              </w:rPr>
              <w:t>1.39229</w:t>
            </w:r>
          </w:p>
        </w:tc>
        <w:tc>
          <w:tcPr>
            <w:tcW w:type="dxa" w:w="1656"/>
          </w:tcPr>
          <w:p>
            <w:pPr>
              <w:keepNext/>
              <w:spacing w:after="80" w:line="240" w:lineRule="auto"/>
            </w:pPr>
            <w:r>
              <w:rPr>
                <w:rFonts w:ascii="Times New Roman" w:hAnsi="Times New Roman"/>
                <w:color w:val="000000"/>
                <w:sz w:val="18"/>
              </w:rPr>
              <w:t>1.73687</w:t>
            </w:r>
          </w:p>
        </w:tc>
      </w:tr>
      <w:tr>
        <w:trPr>
          <w:cantSplit/>
        </w:trPr>
        <w:tc>
          <w:tcPr>
            <w:tcW w:type="dxa" w:w="4608"/>
          </w:tcPr>
          <w:p>
            <w:pPr>
              <w:keepNext/>
              <w:spacing w:after="80" w:line="240" w:lineRule="auto"/>
            </w:pPr>
            <w:r>
              <w:rPr>
                <w:rFonts w:ascii="Times New Roman" w:hAnsi="Times New Roman"/>
                <w:color w:val="000000"/>
                <w:sz w:val="18"/>
              </w:rPr>
              <w:t>Rolling Poisson</w:t>
            </w:r>
          </w:p>
        </w:tc>
        <w:tc>
          <w:tcPr>
            <w:tcW w:type="dxa" w:w="1656"/>
          </w:tcPr>
          <w:p>
            <w:pPr>
              <w:keepNext/>
              <w:spacing w:after="80" w:line="240" w:lineRule="auto"/>
            </w:pPr>
            <w:r>
              <w:rPr>
                <w:rFonts w:ascii="Times New Roman" w:hAnsi="Times New Roman"/>
                <w:color w:val="000000"/>
                <w:sz w:val="18"/>
              </w:rPr>
              <w:t>3.87550</w:t>
            </w:r>
          </w:p>
        </w:tc>
        <w:tc>
          <w:tcPr>
            <w:tcW w:type="dxa" w:w="1584"/>
          </w:tcPr>
          <w:p>
            <w:pPr>
              <w:keepNext/>
              <w:spacing w:after="80" w:line="240" w:lineRule="auto"/>
            </w:pPr>
            <w:r>
              <w:rPr>
                <w:rFonts w:ascii="Times New Roman" w:hAnsi="Times New Roman"/>
                <w:color w:val="000000"/>
                <w:sz w:val="18"/>
              </w:rPr>
              <w:t>1.39336</w:t>
            </w:r>
          </w:p>
        </w:tc>
        <w:tc>
          <w:tcPr>
            <w:tcW w:type="dxa" w:w="1656"/>
          </w:tcPr>
          <w:p>
            <w:pPr>
              <w:keepNext/>
              <w:spacing w:after="80" w:line="240" w:lineRule="auto"/>
            </w:pPr>
            <w:r>
              <w:rPr>
                <w:rFonts w:ascii="Times New Roman" w:hAnsi="Times New Roman"/>
                <w:color w:val="000000"/>
                <w:sz w:val="18"/>
              </w:rPr>
              <w:t>1.73682</w:t>
            </w:r>
          </w:p>
        </w:tc>
      </w:tr>
      <w:tr>
        <w:trPr>
          <w:cantSplit/>
        </w:trPr>
        <w:tc>
          <w:tcPr>
            <w:tcW w:type="dxa" w:w="4608"/>
          </w:tcPr>
          <w:p>
            <w:pPr>
              <w:keepNext/>
              <w:spacing w:after="80" w:line="240" w:lineRule="auto"/>
            </w:pPr>
            <w:r>
              <w:rPr>
                <w:rFonts w:ascii="Times New Roman" w:hAnsi="Times New Roman"/>
                <w:color w:val="000000"/>
                <w:sz w:val="18"/>
              </w:rPr>
              <w:t>Ridge Poisson proxy</w:t>
            </w:r>
          </w:p>
        </w:tc>
        <w:tc>
          <w:tcPr>
            <w:tcW w:type="dxa" w:w="1656"/>
          </w:tcPr>
          <w:p>
            <w:pPr>
              <w:keepNext/>
              <w:spacing w:after="80" w:line="240" w:lineRule="auto"/>
            </w:pPr>
            <w:r>
              <w:rPr>
                <w:rFonts w:ascii="Times New Roman" w:hAnsi="Times New Roman"/>
                <w:color w:val="000000"/>
                <w:sz w:val="18"/>
              </w:rPr>
              <w:t>3.85493</w:t>
            </w:r>
          </w:p>
        </w:tc>
        <w:tc>
          <w:tcPr>
            <w:tcW w:type="dxa" w:w="1584"/>
          </w:tcPr>
          <w:p>
            <w:pPr>
              <w:keepNext/>
              <w:spacing w:after="80" w:line="240" w:lineRule="auto"/>
            </w:pPr>
            <w:r>
              <w:rPr>
                <w:rFonts w:ascii="Times New Roman" w:hAnsi="Times New Roman"/>
                <w:color w:val="000000"/>
                <w:sz w:val="18"/>
              </w:rPr>
              <w:t>1.38726</w:t>
            </w:r>
          </w:p>
        </w:tc>
        <w:tc>
          <w:tcPr>
            <w:tcW w:type="dxa" w:w="1656"/>
          </w:tcPr>
          <w:p>
            <w:pPr>
              <w:keepNext/>
              <w:spacing w:after="80" w:line="240" w:lineRule="auto"/>
            </w:pPr>
            <w:r>
              <w:rPr>
                <w:rFonts w:ascii="Times New Roman" w:hAnsi="Times New Roman"/>
                <w:color w:val="000000"/>
                <w:sz w:val="18"/>
              </w:rPr>
              <w:t>1.72025</w:t>
            </w:r>
          </w:p>
        </w:tc>
      </w:tr>
      <w:tr>
        <w:trPr>
          <w:cantSplit/>
        </w:trPr>
        <w:tc>
          <w:tcPr>
            <w:tcW w:type="dxa" w:w="4608"/>
          </w:tcPr>
          <w:p>
            <w:pPr>
              <w:keepNext/>
              <w:spacing w:after="80" w:line="240" w:lineRule="auto"/>
            </w:pPr>
            <w:r>
              <w:rPr>
                <w:rFonts w:ascii="Times New Roman" w:hAnsi="Times New Roman"/>
                <w:color w:val="000000"/>
                <w:sz w:val="18"/>
              </w:rPr>
              <w:t>Independent Poisson</w:t>
            </w:r>
          </w:p>
        </w:tc>
        <w:tc>
          <w:tcPr>
            <w:tcW w:type="dxa" w:w="1656"/>
          </w:tcPr>
          <w:p>
            <w:pPr>
              <w:keepNext/>
              <w:spacing w:after="80" w:line="240" w:lineRule="auto"/>
            </w:pPr>
            <w:r>
              <w:rPr>
                <w:rFonts w:ascii="Times New Roman" w:hAnsi="Times New Roman"/>
                <w:color w:val="000000"/>
                <w:sz w:val="18"/>
              </w:rPr>
              <w:t>3.85526</w:t>
            </w:r>
          </w:p>
        </w:tc>
        <w:tc>
          <w:tcPr>
            <w:tcW w:type="dxa" w:w="1584"/>
          </w:tcPr>
          <w:p>
            <w:pPr>
              <w:keepNext/>
              <w:spacing w:after="80" w:line="240" w:lineRule="auto"/>
            </w:pPr>
            <w:r>
              <w:rPr>
                <w:rFonts w:ascii="Times New Roman" w:hAnsi="Times New Roman"/>
                <w:color w:val="000000"/>
                <w:sz w:val="18"/>
              </w:rPr>
              <w:t>1.38806</w:t>
            </w:r>
          </w:p>
        </w:tc>
        <w:tc>
          <w:tcPr>
            <w:tcW w:type="dxa" w:w="1656"/>
          </w:tcPr>
          <w:p>
            <w:pPr>
              <w:keepNext/>
              <w:spacing w:after="80" w:line="240" w:lineRule="auto"/>
            </w:pPr>
            <w:r>
              <w:rPr>
                <w:rFonts w:ascii="Times New Roman" w:hAnsi="Times New Roman"/>
                <w:color w:val="000000"/>
                <w:sz w:val="18"/>
              </w:rPr>
              <w:t>1.72034</w:t>
            </w:r>
          </w:p>
        </w:tc>
      </w:tr>
      <w:tr>
        <w:trPr>
          <w:cantSplit/>
        </w:trPr>
        <w:tc>
          <w:tcPr>
            <w:tcW w:type="dxa" w:w="4608"/>
          </w:tcPr>
          <w:p>
            <w:pPr>
              <w:keepNext/>
              <w:spacing w:after="80" w:line="240" w:lineRule="auto"/>
            </w:pPr>
            <w:r>
              <w:rPr>
                <w:rFonts w:ascii="Times New Roman" w:hAnsi="Times New Roman"/>
                <w:color w:val="000000"/>
                <w:sz w:val="18"/>
              </w:rPr>
              <w:t>Negative binomial</w:t>
            </w:r>
          </w:p>
        </w:tc>
        <w:tc>
          <w:tcPr>
            <w:tcW w:type="dxa" w:w="1656"/>
          </w:tcPr>
          <w:p>
            <w:pPr>
              <w:keepNext/>
              <w:spacing w:after="80" w:line="240" w:lineRule="auto"/>
            </w:pPr>
            <w:r>
              <w:rPr>
                <w:rFonts w:ascii="Times New Roman" w:hAnsi="Times New Roman"/>
                <w:color w:val="000000"/>
                <w:sz w:val="18"/>
              </w:rPr>
              <w:t>3.85599</w:t>
            </w:r>
          </w:p>
        </w:tc>
        <w:tc>
          <w:tcPr>
            <w:tcW w:type="dxa" w:w="1584"/>
          </w:tcPr>
          <w:p>
            <w:pPr>
              <w:keepNext/>
              <w:spacing w:after="80" w:line="240" w:lineRule="auto"/>
            </w:pPr>
            <w:r>
              <w:rPr>
                <w:rFonts w:ascii="Times New Roman" w:hAnsi="Times New Roman"/>
                <w:color w:val="000000"/>
                <w:sz w:val="18"/>
              </w:rPr>
              <w:t>1.38853</w:t>
            </w:r>
          </w:p>
        </w:tc>
        <w:tc>
          <w:tcPr>
            <w:tcW w:type="dxa" w:w="1656"/>
          </w:tcPr>
          <w:p>
            <w:pPr>
              <w:keepNext/>
              <w:spacing w:after="80" w:line="240" w:lineRule="auto"/>
            </w:pPr>
            <w:r>
              <w:rPr>
                <w:rFonts w:ascii="Times New Roman" w:hAnsi="Times New Roman"/>
                <w:color w:val="000000"/>
                <w:sz w:val="18"/>
              </w:rPr>
              <w:t>1.72120</w:t>
            </w:r>
          </w:p>
        </w:tc>
      </w:tr>
      <w:tr>
        <w:trPr>
          <w:cantSplit/>
        </w:trPr>
        <w:tc>
          <w:tcPr>
            <w:tcW w:type="dxa" w:w="4608"/>
          </w:tcPr>
          <w:p>
            <w:pPr>
              <w:keepNext/>
              <w:spacing w:after="80" w:line="240" w:lineRule="auto"/>
            </w:pPr>
            <w:r>
              <w:rPr>
                <w:rFonts w:ascii="Times New Roman" w:hAnsi="Times New Roman"/>
                <w:color w:val="000000"/>
                <w:sz w:val="18"/>
              </w:rPr>
              <w:t>Attack and defence Poisson</w:t>
            </w:r>
          </w:p>
        </w:tc>
        <w:tc>
          <w:tcPr>
            <w:tcW w:type="dxa" w:w="1656"/>
          </w:tcPr>
          <w:p>
            <w:pPr>
              <w:keepNext/>
              <w:spacing w:after="80" w:line="240" w:lineRule="auto"/>
            </w:pPr>
            <w:r>
              <w:rPr>
                <w:rFonts w:ascii="Times New Roman" w:hAnsi="Times New Roman"/>
                <w:color w:val="000000"/>
                <w:sz w:val="18"/>
              </w:rPr>
              <w:t>3.86937</w:t>
            </w:r>
          </w:p>
        </w:tc>
        <w:tc>
          <w:tcPr>
            <w:tcW w:type="dxa" w:w="1584"/>
          </w:tcPr>
          <w:p>
            <w:pPr>
              <w:keepNext/>
              <w:spacing w:after="80" w:line="240" w:lineRule="auto"/>
            </w:pPr>
            <w:r>
              <w:rPr>
                <w:rFonts w:ascii="Times New Roman" w:hAnsi="Times New Roman"/>
                <w:color w:val="000000"/>
                <w:sz w:val="18"/>
              </w:rPr>
              <w:t>1.40161</w:t>
            </w:r>
          </w:p>
        </w:tc>
        <w:tc>
          <w:tcPr>
            <w:tcW w:type="dxa" w:w="1656"/>
          </w:tcPr>
          <w:p>
            <w:pPr>
              <w:keepNext/>
              <w:spacing w:after="80" w:line="240" w:lineRule="auto"/>
            </w:pPr>
            <w:r>
              <w:rPr>
                <w:rFonts w:ascii="Times New Roman" w:hAnsi="Times New Roman"/>
                <w:color w:val="000000"/>
                <w:sz w:val="18"/>
              </w:rPr>
              <w:t>1.73225</w:t>
            </w:r>
          </w:p>
        </w:tc>
      </w:tr>
      <w:tr>
        <w:trPr>
          <w:cantSplit/>
        </w:trPr>
        <w:tc>
          <w:tcPr>
            <w:tcW w:type="dxa" w:w="4608"/>
          </w:tcPr>
          <w:p>
            <w:pPr>
              <w:keepNext/>
              <w:spacing w:after="80" w:line="240" w:lineRule="auto"/>
            </w:pPr>
            <w:r>
              <w:rPr>
                <w:rFonts w:ascii="Times New Roman" w:hAnsi="Times New Roman"/>
                <w:color w:val="000000"/>
                <w:sz w:val="18"/>
              </w:rPr>
              <w:t>Bivariate Poisson</w:t>
            </w:r>
          </w:p>
        </w:tc>
        <w:tc>
          <w:tcPr>
            <w:tcW w:type="dxa" w:w="1656"/>
          </w:tcPr>
          <w:p>
            <w:pPr>
              <w:keepNext/>
              <w:spacing w:after="80" w:line="240" w:lineRule="auto"/>
            </w:pPr>
            <w:r>
              <w:rPr>
                <w:rFonts w:ascii="Times New Roman" w:hAnsi="Times New Roman"/>
                <w:color w:val="000000"/>
                <w:sz w:val="18"/>
              </w:rPr>
              <w:t>3.85526</w:t>
            </w:r>
          </w:p>
        </w:tc>
        <w:tc>
          <w:tcPr>
            <w:tcW w:type="dxa" w:w="1584"/>
          </w:tcPr>
          <w:p>
            <w:pPr>
              <w:keepNext/>
              <w:spacing w:after="80" w:line="240" w:lineRule="auto"/>
            </w:pPr>
            <w:r>
              <w:rPr>
                <w:rFonts w:ascii="Times New Roman" w:hAnsi="Times New Roman"/>
                <w:color w:val="000000"/>
                <w:sz w:val="18"/>
              </w:rPr>
              <w:t>1.38806</w:t>
            </w:r>
          </w:p>
        </w:tc>
        <w:tc>
          <w:tcPr>
            <w:tcW w:type="dxa" w:w="1656"/>
          </w:tcPr>
          <w:p>
            <w:pPr>
              <w:keepNext/>
              <w:spacing w:after="80" w:line="240" w:lineRule="auto"/>
            </w:pPr>
            <w:r>
              <w:rPr>
                <w:rFonts w:ascii="Times New Roman" w:hAnsi="Times New Roman"/>
                <w:color w:val="000000"/>
                <w:sz w:val="18"/>
              </w:rPr>
              <w:t>1.72034</w:t>
            </w:r>
          </w:p>
        </w:tc>
      </w:tr>
      <w:tr>
        <w:trPr>
          <w:cantSplit/>
        </w:trPr>
        <w:tc>
          <w:tcPr>
            <w:tcW w:type="dxa" w:w="4608"/>
          </w:tcPr>
          <w:p>
            <w:pPr>
              <w:keepNext/>
              <w:spacing w:after="80" w:line="240" w:lineRule="auto"/>
            </w:pPr>
            <w:r>
              <w:rPr>
                <w:rFonts w:ascii="Times New Roman" w:hAnsi="Times New Roman"/>
                <w:color w:val="000000"/>
                <w:sz w:val="18"/>
              </w:rPr>
              <w:t>Poisson boosting</w:t>
            </w:r>
          </w:p>
        </w:tc>
        <w:tc>
          <w:tcPr>
            <w:tcW w:type="dxa" w:w="1656"/>
          </w:tcPr>
          <w:p>
            <w:pPr>
              <w:keepNext/>
              <w:spacing w:after="80" w:line="240" w:lineRule="auto"/>
            </w:pPr>
            <w:r>
              <w:rPr>
                <w:rFonts w:ascii="Times New Roman" w:hAnsi="Times New Roman"/>
                <w:color w:val="000000"/>
                <w:sz w:val="18"/>
              </w:rPr>
              <w:t>3.86201</w:t>
            </w:r>
          </w:p>
        </w:tc>
        <w:tc>
          <w:tcPr>
            <w:tcW w:type="dxa" w:w="1584"/>
          </w:tcPr>
          <w:p>
            <w:pPr>
              <w:keepNext/>
              <w:spacing w:after="80" w:line="240" w:lineRule="auto"/>
            </w:pPr>
            <w:r>
              <w:rPr>
                <w:rFonts w:ascii="Times New Roman" w:hAnsi="Times New Roman"/>
                <w:color w:val="000000"/>
                <w:sz w:val="18"/>
              </w:rPr>
              <w:t>1.39093</w:t>
            </w:r>
          </w:p>
        </w:tc>
        <w:tc>
          <w:tcPr>
            <w:tcW w:type="dxa" w:w="1656"/>
          </w:tcPr>
          <w:p>
            <w:pPr>
              <w:keepNext/>
              <w:spacing w:after="80" w:line="240" w:lineRule="auto"/>
            </w:pPr>
            <w:r>
              <w:rPr>
                <w:rFonts w:ascii="Times New Roman" w:hAnsi="Times New Roman"/>
                <w:color w:val="000000"/>
                <w:sz w:val="18"/>
              </w:rPr>
              <w:t>1.72605</w:t>
            </w:r>
          </w:p>
        </w:tc>
      </w:tr>
      <w:tr>
        <w:trPr>
          <w:cantSplit/>
        </w:trPr>
        <w:tc>
          <w:tcPr>
            <w:tcW w:type="dxa" w:w="4608"/>
          </w:tcPr>
          <w:p>
            <w:pPr>
              <w:keepNext/>
              <w:spacing w:after="80" w:line="240" w:lineRule="auto"/>
            </w:pPr>
            <w:r>
              <w:rPr>
                <w:rFonts w:ascii="Times New Roman" w:hAnsi="Times New Roman"/>
                <w:color w:val="000000"/>
                <w:sz w:val="18"/>
              </w:rPr>
              <w:t>Forest Poisson proxy</w:t>
            </w:r>
          </w:p>
        </w:tc>
        <w:tc>
          <w:tcPr>
            <w:tcW w:type="dxa" w:w="1656"/>
          </w:tcPr>
          <w:p>
            <w:pPr>
              <w:keepNext/>
              <w:spacing w:after="80" w:line="240" w:lineRule="auto"/>
            </w:pPr>
            <w:r>
              <w:rPr>
                <w:rFonts w:ascii="Times New Roman" w:hAnsi="Times New Roman"/>
                <w:color w:val="000000"/>
                <w:sz w:val="18"/>
              </w:rPr>
              <w:t>3.86219</w:t>
            </w:r>
          </w:p>
        </w:tc>
        <w:tc>
          <w:tcPr>
            <w:tcW w:type="dxa" w:w="1584"/>
          </w:tcPr>
          <w:p>
            <w:pPr>
              <w:keepNext/>
              <w:spacing w:after="80" w:line="240" w:lineRule="auto"/>
            </w:pPr>
            <w:r>
              <w:rPr>
                <w:rFonts w:ascii="Times New Roman" w:hAnsi="Times New Roman"/>
                <w:color w:val="000000"/>
                <w:sz w:val="18"/>
              </w:rPr>
              <w:t>1.39441</w:t>
            </w:r>
          </w:p>
        </w:tc>
        <w:tc>
          <w:tcPr>
            <w:tcW w:type="dxa" w:w="1656"/>
          </w:tcPr>
          <w:p>
            <w:pPr>
              <w:keepNext/>
              <w:spacing w:after="80" w:line="240" w:lineRule="auto"/>
            </w:pPr>
            <w:r>
              <w:rPr>
                <w:rFonts w:ascii="Times New Roman" w:hAnsi="Times New Roman"/>
                <w:color w:val="000000"/>
                <w:sz w:val="18"/>
              </w:rPr>
              <w:t>1.72611</w:t>
            </w:r>
          </w:p>
        </w:tc>
      </w:tr>
    </w:tbl>
    <w:p/>
    <w:p>
      <w:pPr>
        <w:keepLines/>
      </w:pPr>
      <w:r>
        <w:t>Table 5. All frozen variants on the same final-season games. MAE and RMSE average the two sides on the stated team-game scale; joint NLL is per paired game.</w:t>
      </w:r>
    </w:p>
    <w:p>
      <w:pPr>
        <w:keepNext/>
      </w:pPr>
      <w:r>
        <w:drawing>
          <wp:inline xmlns:a="http://schemas.openxmlformats.org/drawingml/2006/main" xmlns:pic="http://schemas.openxmlformats.org/drawingml/2006/picture">
            <wp:extent cx="6035040" cy="3520440"/>
            <wp:docPr id="4" name="Picture 4"/>
            <wp:cNvGraphicFramePr>
              <a:graphicFrameLocks noChangeAspect="1"/>
            </wp:cNvGraphicFramePr>
            <a:graphic>
              <a:graphicData uri="http://schemas.openxmlformats.org/drawingml/2006/picture">
                <pic:pic>
                  <pic:nvPicPr>
                    <pic:cNvPr id="0" name="holdout-comparison.png"/>
                    <pic:cNvPicPr/>
                  </pic:nvPicPr>
                  <pic:blipFill>
                    <a:blip r:embed="rId13"/>
                    <a:stretch>
                      <a:fillRect/>
                    </a:stretch>
                  </pic:blipFill>
                  <pic:spPr>
                    <a:xfrm>
                      <a:off x="0" y="0"/>
                      <a:ext cx="6035040" cy="3520440"/>
                    </a:xfrm>
                    <a:prstGeom prst="rect"/>
                  </pic:spPr>
                </pic:pic>
              </a:graphicData>
            </a:graphic>
          </wp:inline>
        </w:drawing>
      </w:r>
    </w:p>
    <w:p>
      <w:pPr>
        <w:spacing w:after="200"/>
      </w:pPr>
      <w:r>
        <w:rPr>
          <w:i/>
          <w:sz w:val="18"/>
        </w:rPr>
        <w:t>Figure 4. Joint-NLL differences against the league baseline with 95% paired calendar-week bootstrap intervals. A negative difference favors the candidate; intervals are not adjusted for multiple comparisons.</w:t>
      </w:r>
    </w:p>
    <w:p>
      <w:pPr>
        <w:pStyle w:val="Heading2"/>
      </w:pPr>
      <w:r>
        <w:t>7.1 Outcome probabilities and interval coverage</w:t>
      </w:r>
    </w:p>
    <w:p>
      <w:pPr>
        <w:keepLines/>
      </w:pPr>
      <w:r>
        <w:t>The frozen model’s regulation-outcome Brier score is 0.62735, compared with 0.63919 for the league forecast. Its outcome log loss is 1.04250 versus 1.05737. These improvements concern regulation outcomes, not final overtime or shootout winners.</w:t>
      </w:r>
    </w:p>
    <w:p>
      <w:pPr>
        <w:keepLines/>
      </w:pPr>
      <w:r>
        <w:t>The marginal central intervals cover 94.8% of home counts and 95.7% of away counts, with mean width 5.596 goals. Coverage above the nominal level partly reflects discrete quantile endpoints. It should not be interpreted as evidence of sharp, perfectly calibrated uncertainty.</w:t>
      </w:r>
    </w:p>
    <w:p>
      <w:pPr>
        <w:keepLines/>
      </w:pPr>
      <w:r>
        <w:t>The paired bootstrap primary-minus-baseline NLL interval is [-0.03101, -0.00774], with mean -0.02019, based on 28 calendar-week blocks. This supports an improvement within the observed holdout under the block scheme. It does not establish identical gains in another season or under unobserved future roster information.</w:t>
      </w:r>
    </w:p>
    <w:p>
      <w:r>
        <w:br w:type="page"/>
      </w:r>
    </w:p>
    <w:p>
      <w:pPr>
        <w:pStyle w:val="Heading1"/>
      </w:pPr>
      <w:r>
        <w:t>8 Calibration uncertainty and reproducibility</w:t>
      </w:r>
    </w:p>
    <w:p>
      <w:pPr>
        <w:keepLines/>
      </w:pPr>
      <w:r>
        <w:t>Calibration asks whether forecast probabilities agree with realized frequencies. Fixed ten-percent outcome bins are used here as descriptive diagnostics after evaluation. No calibration map is fitted to holdout outcomes. Sparse bins are retained with their counts in the accompanying CSV rather than treated as reliable estimates.</w:t>
      </w:r>
    </w:p>
    <w:p>
      <w:pPr>
        <w:keepLines/>
      </w:pPr>
      <w:r>
        <w:t>The paired score model’s zero positive-dependence component is a limitation and a finding. Hockey score interaction can be negative, state dependent or poorly described by a shared count. Empty-net scoring and late-game strategy are mechanisms worth studying, but this dataset does not establish their causal contribution.</w:t>
      </w:r>
    </w:p>
    <w:p>
      <w:pPr>
        <w:keepLines/>
      </w:pPr>
      <w:r>
        <w:t>The archive and raw-source fingerprints identify the exact local materials. Frozen model configurations, tuning choices, fold metrics, data summaries, exclusion records, score checks and comparison intervals trace the reported numbers to versioned artifacts. Row-level prediction files remain local, with aggregate findings published.</w:t>
      </w:r>
    </w:p>
    <w:p>
      <w:pPr>
        <w:keepLines/>
      </w:pPr>
      <w:r>
        <w:t>The base-R independent-Poisson implementation uses the same features, training period, population-standard-deviation scaling, penalty and log-link likelihood as Python. Its final holdout joint NLL differs by approximately 1.71 billionths and its MAE by approximately 2.64 billionths. This is a targeted cross-language numerical check, not full R parity for every model.</w:t>
      </w:r>
    </w:p>
    <w:p>
      <w:pPr>
        <w:keepLines/>
      </w:pPr>
      <w:r>
        <w:t>The frozen Python replay checks the exact source and protocol hashes before refitting existing configurations. It performs no hyperparameter search and does not revise the published holdout scores. Fast synthetic invariant tests can run in CI without access to restricted raw data. Reproducing the full empirical experiment also requires the original source snapshot; current downloads may change.</w:t>
      </w:r>
    </w:p>
    <w:p>
      <w:pPr>
        <w:keepNext/>
      </w:pPr>
      <w:r>
        <w:drawing>
          <wp:inline xmlns:a="http://schemas.openxmlformats.org/drawingml/2006/main" xmlns:pic="http://schemas.openxmlformats.org/drawingml/2006/picture">
            <wp:extent cx="6035040" cy="2514600"/>
            <wp:docPr id="5" name="Picture 5"/>
            <wp:cNvGraphicFramePr>
              <a:graphicFrameLocks noChangeAspect="1"/>
            </wp:cNvGraphicFramePr>
            <a:graphic>
              <a:graphicData uri="http://schemas.openxmlformats.org/drawingml/2006/picture">
                <pic:pic>
                  <pic:nvPicPr>
                    <pic:cNvPr id="0" name="outcome-calibration.png"/>
                    <pic:cNvPicPr/>
                  </pic:nvPicPr>
                  <pic:blipFill>
                    <a:blip r:embed="rId14"/>
                    <a:stretch>
                      <a:fillRect/>
                    </a:stretch>
                  </pic:blipFill>
                  <pic:spPr>
                    <a:xfrm>
                      <a:off x="0" y="0"/>
                      <a:ext cx="6035040" cy="2514600"/>
                    </a:xfrm>
                    <a:prstGeom prst="rect"/>
                  </pic:spPr>
                </pic:pic>
              </a:graphicData>
            </a:graphic>
          </wp:inline>
        </w:drawing>
      </w:r>
    </w:p>
    <w:p>
      <w:pPr>
        <w:spacing w:after="200"/>
      </w:pPr>
      <w:r>
        <w:rPr>
          <w:i/>
          <w:sz w:val="18"/>
        </w:rPr>
        <w:t>Figure 5. Descriptive reliability curves for the frozen model. Low-count bins are noisy; no holdout-based calibration adjustment was applied.</w:t>
      </w:r>
    </w:p>
    <w:p>
      <w:r>
        <w:br w:type="page"/>
      </w:r>
    </w:p>
    <w:p>
      <w:pPr>
        <w:pStyle w:val="Heading1"/>
      </w:pPr>
      <w:r>
        <w:t>9 Discussion and limitations</w:t>
      </w:r>
    </w:p>
    <w:p>
      <w:pPr>
        <w:keepLines/>
      </w:pPr>
      <w:r>
        <w:t>The original thesis correctly identified that per-game modeling was needed. The revision operationalizes that insight and makes paired probability forecasts possible. It cannot quantify a clean causal effect of switching from team-season OLS to game-level counts because the historical dataset, original code and identical target definition are not available.</w:t>
      </w:r>
    </w:p>
    <w:p>
      <w:pPr>
        <w:keepLines/>
      </w:pPr>
      <w:r>
        <w:t>The strongest evidence is that practical regularization and lagged game histories improve probability quality modestly under this temporal design. The league baseline remains competitive on point error. A small point-error reduction can coexist with a useful proper-score gain because a full distribution is evaluated differently from a point forecast.</w:t>
      </w:r>
    </w:p>
    <w:p>
      <w:pPr>
        <w:keepLines/>
      </w:pPr>
      <w:r>
        <w:t>The correlated-score hypothesis is not supported by the shared-count model as fitted. Rho reaches zero, making the bivariate model operationally identical to the independent one. This outcome does not prove score independence; the model permits only one restricted form of positive dependence. A future comparison could examine negative-dependence or state-based alternatives under a new untouched validation period.</w:t>
      </w:r>
    </w:p>
    <w:p>
      <w:pPr>
        <w:keepLines/>
      </w:pPr>
      <w:r>
        <w:t>There is no basis to claim that hierarchical Bayesian inference or dynamic state-space modeling has been completed. The implemented attack/defence model uses L2-penalized team indicators; it is a useful shrinkage benchmark but lacks posterior uncertainty and time-varying latent strengths. The tree models are controlled benchmarks, not a comprehensive machine-learning search.</w:t>
      </w:r>
    </w:p>
    <w:p>
      <w:pPr>
        <w:keepLines/>
      </w:pPr>
      <w:r>
        <w:t>Historical availability is the most important deployment limitation. Strict date lags prevent direct target inclusion, but the present download is a revised modern snapshot. Exact provider release time, archived revisions, actual start times and announced lineups are absent. A live forecasting claim requires prospective snapshots and an explicit timestamp ledger.</w:t>
      </w:r>
    </w:p>
    <w:p>
      <w:pPr>
        <w:keepLines/>
      </w:pPr>
      <w:r>
        <w:t>Other limitations include one excluded incomplete game, sample-based rather than exhaustive official score verification, calendar-day rather than exact-time rest, no playoff form, unmodeled neutral-site or international venue effects, cold starts for changed team labels, and no roster, starting-goaltender, injury or market information. These omissions affect the study’s information set and external validity.</w:t>
      </w:r>
    </w:p>
    <w:p>
      <w:pPr>
        <w:keepLines/>
      </w:pPr>
      <w:r>
        <w:t>The pandemic-disrupted seasons remain distinct folds but are not separately modeled as causal rule changes. The single-season final holdout and 28 bootstrap week blocks limit comparison uncertainty. Multiple candidate comparisons are descriptive and their intervals are not multiplicity-adjusted. Independent editorial and academic review remain required before describing the entire programme as a completed formal thesis.</w:t>
      </w:r>
    </w:p>
    <w:p>
      <w:r>
        <w:br w:type="page"/>
      </w:r>
    </w:p>
    <w:p>
      <w:pPr>
        <w:pStyle w:val="Heading1"/>
      </w:pPr>
      <w:r>
        <w:t>10 Conclusion and remaining programme</w:t>
      </w:r>
    </w:p>
    <w:p>
      <w:pPr>
        <w:keepLines/>
      </w:pPr>
      <w:r>
        <w:t>This first research edition preserves the historical work, resolves key methodological definitions and completes a reproducible nine-variant temporal comparison. It produces valid paired count forecasts and reports a small, uncertainty-qualified probability-quality gain over an expanding league baseline.</w:t>
      </w:r>
    </w:p>
    <w:p>
      <w:pPr>
        <w:keepLines/>
      </w:pPr>
      <w:r>
        <w:t>The negative findings are central: positive shared-count dependence is estimated at zero; larger tree models do not decisively improve the final comparison; and the gain in average absolute point error is very small. A revised thesis should retain these findings rather than substitute an unsupported narrative of algorithmic progress.</w:t>
      </w:r>
    </w:p>
    <w:p>
      <w:pPr>
        <w:keepLines/>
      </w:pPr>
      <w:r>
        <w:t>The next scientific priorities are original artifact recovery, broader score verification, prospective historical-availability snapshots, feature exposure normalization, a carefully justified dynamic/hierarchical model, and development-only sensitivity work before any new test-season analysis. The reserved 2025-26 season must not become a tuning resource for the current release.</w:t>
      </w:r>
    </w:p>
    <w:p>
      <w:pPr>
        <w:keepLines/>
      </w:pPr>
      <w:r>
        <w:t>The release is version 0.1.0, a substantive initial empirical revision. Version 1.0.0 requires the wider programme’s completion gates, including independent review and clearer archival status. No new institutional submission, portfolio website deployment, video recording or communication with Carleton is implied by this research release.</w:t>
      </w:r>
    </w:p>
    <w:p>
      <w:r>
        <w:br w:type="page"/>
      </w:r>
    </w:p>
    <w:p>
      <w:pPr>
        <w:pStyle w:val="Heading1"/>
      </w:pPr>
      <w:r>
        <w:t>References</w:t>
      </w:r>
    </w:p>
    <w:p>
      <w:pPr>
        <w:keepLines/>
      </w:pPr>
      <w:r>
        <w:t>[1] Silvey, H. (2020). National Hockey League Data: Analysis and Prediction. Undergraduate honours project, Carleton University, School of Mathematics and Statistics. Supervisor: Dr. Jason Nielsen. April 7, 2020. https://carleton.ca/math/wp-content/uploads/Howard-Silvey-Honours-Project-2.pdf</w:t>
      </w:r>
    </w:p>
    <w:p>
      <w:pPr>
        <w:keepLines/>
      </w:pPr>
      <w:r>
        <w:t>[2] Gneiting, T., and Raftery, A. E. (2007). Strictly Proper Scoring Rules, Prediction, and Estimation. Journal of the American Statistical Association, 102(477), 359-378. https://doi.org/10.1198/016214506000001437</w:t>
      </w:r>
    </w:p>
    <w:p>
      <w:pPr>
        <w:keepLines/>
      </w:pPr>
      <w:r>
        <w:t>[3] Karlis, D., and Ntzoufras, I. (2003). Analysis of sports data by using bivariate Poisson models. Journal of the Royal Statistical Society, Series D, 52(3), 381-393. https://doi.org/10.1111/1467-9884.00366</w:t>
      </w:r>
    </w:p>
    <w:p>
      <w:pPr>
        <w:keepLines/>
      </w:pPr>
      <w:r>
        <w:t>[4] Dixon, M. J., and Coles, S. G. (1997). Modelling Association Football Scores and Inefficiencies in the Football Betting Market. Journal of the Royal Statistical Society, Series C, 46(2), 265-280. https://doi.org/10.1111/1467-9876.00065</w:t>
      </w:r>
    </w:p>
    <w:p>
      <w:pPr>
        <w:keepLines/>
      </w:pPr>
      <w:r>
        <w:t>[5] Macdonald, B., Lennon, C., and Sturdivant, R. (2012). Evaluating NHL Goalies, Skaters, and Teams Using Weighted Shots. arXiv:1205.1746. https://arxiv.org/abs/1205.1746</w:t>
      </w:r>
    </w:p>
    <w:p>
      <w:pPr>
        <w:keepLines/>
      </w:pPr>
      <w:r>
        <w:t>[6] Thomas, A. C., Ventura, S. L., Jensen, S., and Ma, S. (2013, revised preprint). Competing Process Hazard Function Models for Player Ratings in Ice Hockey. arXiv:1208.0799v2. https://arxiv.org/abs/1208.0799</w:t>
      </w:r>
    </w:p>
    <w:p>
      <w:pPr>
        <w:keepLines/>
      </w:pPr>
      <w:r>
        <w:t>[7] Sadeghkhani, A., and Ahmed, S. E. (2019). Predicting the scoring time in hockey. arXiv:1903.10889. https://arxiv.org/abs/1903.10889</w:t>
      </w:r>
    </w:p>
    <w:p>
      <w:pPr>
        <w:keepLines/>
      </w:pPr>
      <w:r>
        <w:t>[8] MoneyPuck.com (2026). Download Data. All-team game-by-game data, snapshot retrieved October 2, 2026. Non-commercial research use with attribution. https://moneypuck.com/data.htm</w:t>
      </w:r>
    </w:p>
    <w:p>
      <w:pPr>
        <w:keepLines/>
      </w:pPr>
      <w:r>
        <w:t>[9] National Hockey League (2026). GameCenter landing responses. Official period scoring used for 54 stratified verification cases. Endpoint pattern: https://api-web.nhle.com/v1/gamecenter/{game_id}/landing</w:t>
      </w:r>
    </w:p>
    <w:p>
      <w:pPr>
        <w:keepLines/>
      </w:pPr>
      <w:r>
        <w:t>[10] scikit-learn developers (2026). PoissonRegressor and HistGradientBoostingRegressor documentation, version 1.9.1. https://scikit-learn.org/stable/modules/generated/sklearn.linear_model.PoissonRegressor.html ; https://scikit-learn.org/stable/modules/generated/sklearn.ensemble.HistGradientBoostingRegressor.html</w:t>
      </w:r>
    </w:p>
    <w:p>
      <w:pPr>
        <w:keepLines/>
      </w:pPr>
      <w:r>
        <w:t>[11] Silvey, H. R. (2026). NHL Honours Project 2020 Audit and 2026 Research Baseline. Version 2.0, September 27, 2026. Preserved transfer document in docs/TRANSFER_BASELINE.md.</w:t>
      </w:r>
    </w:p>
    <w:p>
      <w:pPr>
        <w:keepLines/>
      </w:pPr>
      <w:r>
        <w:t>[12] Silvey, H. R. (2026). NHL Goal Prediction research repository. Research edition 0.1.0. https://github.com/howardsilvey7/nhl-goal-prediction</w:t>
      </w:r>
    </w:p>
    <w:p>
      <w:r>
        <w:br w:type="page"/>
      </w:r>
    </w:p>
    <w:p>
      <w:pPr>
        <w:pStyle w:val="Heading1"/>
      </w:pPr>
      <w:r>
        <w:t>Appendix A Definitions and build trace</w:t>
      </w:r>
    </w:p>
    <w:p>
      <w:pPr>
        <w:keepLines/>
      </w:pPr>
      <w:r>
        <w:t>Team-game: one side’s goal count in one paired game. Game: one ordered home/away pair. Season labels use their starting year in machine-readable files. Regulation draw: equal goals after the first three periods, regardless of the final overtime or shootout result.</w:t>
      </w:r>
    </w:p>
    <w:p>
      <w:pPr>
        <w:keepLines/>
      </w:pPr>
      <w:r>
        <w:t>Source-verified: an original reported value confirmed by inspecting its preserved source. Reproduced: obtained by executing preserved original code and original inputs. Reconstructed: recreated from documented methods with explicit replacement inputs or assumptions. These labels are not interchangeable.</w:t>
      </w:r>
    </w:p>
    <w:p>
      <w:pPr>
        <w:keepLines/>
      </w:pPr>
      <w:r>
        <w:t>Original archival PDF SHA256: a3102150485b5d81aae0af29f844124cd7e8607f2349271d2cb3c0271260b6d0</w:t>
      </w:r>
    </w:p>
    <w:p>
      <w:pPr>
        <w:keepLines/>
      </w:pPr>
      <w:r>
        <w:t>Modern raw snapshot SHA256: 27a6d0dcb1659eeb6780b955f058f2af5b33b5eba266bf120cdb23fb7f8477bf</w:t>
      </w:r>
    </w:p>
    <w:p>
      <w:pPr>
        <w:keepLines/>
      </w:pPr>
      <w:r>
        <w:t>Frozen protocol SHA256: b3cd85a1cea5f9c7b489c243697bf83a0e3442c2c4b6d8889d0e8c8a5065c802</w:t>
      </w:r>
    </w:p>
    <w:p>
      <w:pPr>
        <w:keepLines/>
      </w:pPr>
      <w:r>
        <w:t>Code entry points: scripts/acquire.py; scripts/validate_scores.py; scripts/run_study.py; scripts/reproduce_frozen.py; scripts/r_poisson_parity.R; scripts/build_figures.py; scripts/build_documents.py. Use the repository README for exact rebuild commands and current checks.</w:t>
      </w:r>
    </w:p>
    <w:p>
      <w:pPr>
        <w:keepLines/>
      </w:pPr>
      <w:r>
        <w:t>Numerical source files: reports/data-summary.csv, development-metrics.csv, holdout-metrics.csv, holdout-paired-comparisons.csv, outcome-calibration.csv, frozen-models.json and r-parity.csv. All displayed table values are rounded only during document generation.</w:t>
      </w:r>
    </w:p>
    <w:p>
      <w:pPr>
        <w:pStyle w:val="Heading1"/>
      </w:pPr>
      <w:r>
        <w:t>Appendix B Frozen final configurations</w:t>
      </w:r>
    </w:p>
    <w:p>
      <w:pPr>
        <w:keepLines/>
      </w:pPr>
      <w:r>
        <w:t>The final hyperparameter choices were determined without final-season score comparison. They are retained verbatim in the frozen configuration ledger.</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4824"/>
        <w:gridCol w:w="4824"/>
      </w:tblGrid>
      <w:tr>
        <w:trPr>
          <w:tblHeader/>
          <w:cantSplit/>
        </w:trPr>
        <w:tc>
          <w:tcPr>
            <w:tcW w:type="dxa" w:w="4608"/>
            <w:shd w:fill="E7E7E7"/>
          </w:tcPr>
          <w:p>
            <w:pPr>
              <w:keepNext/>
              <w:spacing w:after="80" w:line="240" w:lineRule="auto"/>
            </w:pPr>
            <w:r>
              <w:rPr>
                <w:rFonts w:ascii="Times New Roman" w:hAnsi="Times New Roman"/>
                <w:b/>
                <w:color w:val="000000"/>
                <w:sz w:val="18"/>
              </w:rPr>
              <w:t>Model</w:t>
            </w:r>
          </w:p>
        </w:tc>
        <w:tc>
          <w:tcPr>
            <w:tcW w:type="dxa" w:w="4896"/>
            <w:shd w:fill="E7E7E7"/>
          </w:tcPr>
          <w:p>
            <w:pPr>
              <w:keepNext/>
              <w:spacing w:after="80" w:line="240" w:lineRule="auto"/>
            </w:pPr>
            <w:r>
              <w:rPr>
                <w:rFonts w:ascii="Times New Roman" w:hAnsi="Times New Roman"/>
                <w:b/>
                <w:color w:val="000000"/>
                <w:sz w:val="18"/>
              </w:rPr>
              <w:t>Frozen configuration</w:t>
            </w:r>
          </w:p>
        </w:tc>
      </w:tr>
      <w:tr>
        <w:trPr>
          <w:cantSplit/>
        </w:trPr>
        <w:tc>
          <w:tcPr>
            <w:tcW w:type="dxa" w:w="4608"/>
          </w:tcPr>
          <w:p>
            <w:pPr>
              <w:keepNext/>
              <w:spacing w:after="80" w:line="240" w:lineRule="auto"/>
            </w:pPr>
            <w:r>
              <w:rPr>
                <w:rFonts w:ascii="Times New Roman" w:hAnsi="Times New Roman"/>
                <w:color w:val="000000"/>
                <w:sz w:val="18"/>
              </w:rPr>
              <w:t>Ridge Poisson proxy</w:t>
            </w:r>
          </w:p>
        </w:tc>
        <w:tc>
          <w:tcPr>
            <w:tcW w:type="dxa" w:w="4896"/>
          </w:tcPr>
          <w:p>
            <w:pPr>
              <w:keepNext/>
              <w:spacing w:after="80" w:line="240" w:lineRule="auto"/>
            </w:pPr>
            <w:r>
              <w:rPr>
                <w:rFonts w:ascii="Times New Roman" w:hAnsi="Times New Roman"/>
                <w:color w:val="000000"/>
                <w:sz w:val="18"/>
              </w:rPr>
              <w:t>{"alpha": 100.0}</w:t>
            </w:r>
          </w:p>
        </w:tc>
      </w:tr>
      <w:tr>
        <w:trPr>
          <w:cantSplit/>
        </w:trPr>
        <w:tc>
          <w:tcPr>
            <w:tcW w:type="dxa" w:w="4608"/>
          </w:tcPr>
          <w:p>
            <w:pPr>
              <w:keepNext/>
              <w:spacing w:after="80" w:line="240" w:lineRule="auto"/>
            </w:pPr>
            <w:r>
              <w:rPr>
                <w:rFonts w:ascii="Times New Roman" w:hAnsi="Times New Roman"/>
                <w:color w:val="000000"/>
                <w:sz w:val="18"/>
              </w:rPr>
              <w:t>Independent Poisson</w:t>
            </w:r>
          </w:p>
        </w:tc>
        <w:tc>
          <w:tcPr>
            <w:tcW w:type="dxa" w:w="4896"/>
          </w:tcPr>
          <w:p>
            <w:pPr>
              <w:keepNext/>
              <w:spacing w:after="80" w:line="240" w:lineRule="auto"/>
            </w:pPr>
            <w:r>
              <w:rPr>
                <w:rFonts w:ascii="Times New Roman" w:hAnsi="Times New Roman"/>
                <w:color w:val="000000"/>
                <w:sz w:val="18"/>
              </w:rPr>
              <w:t>{"alpha": 1.0}</w:t>
            </w:r>
          </w:p>
        </w:tc>
      </w:tr>
      <w:tr>
        <w:trPr>
          <w:cantSplit/>
        </w:trPr>
        <w:tc>
          <w:tcPr>
            <w:tcW w:type="dxa" w:w="4608"/>
          </w:tcPr>
          <w:p>
            <w:pPr>
              <w:keepNext/>
              <w:spacing w:after="80" w:line="240" w:lineRule="auto"/>
            </w:pPr>
            <w:r>
              <w:rPr>
                <w:rFonts w:ascii="Times New Roman" w:hAnsi="Times New Roman"/>
                <w:color w:val="000000"/>
                <w:sz w:val="18"/>
              </w:rPr>
              <w:t>Negative binomial</w:t>
            </w:r>
          </w:p>
        </w:tc>
        <w:tc>
          <w:tcPr>
            <w:tcW w:type="dxa" w:w="4896"/>
          </w:tcPr>
          <w:p>
            <w:pPr>
              <w:keepNext/>
              <w:spacing w:after="80" w:line="240" w:lineRule="auto"/>
            </w:pPr>
            <w:r>
              <w:rPr>
                <w:rFonts w:ascii="Times New Roman" w:hAnsi="Times New Roman"/>
                <w:color w:val="000000"/>
                <w:sz w:val="18"/>
              </w:rPr>
              <w:t>{"alpha": 0.1}</w:t>
            </w:r>
          </w:p>
        </w:tc>
      </w:tr>
      <w:tr>
        <w:trPr>
          <w:cantSplit/>
        </w:trPr>
        <w:tc>
          <w:tcPr>
            <w:tcW w:type="dxa" w:w="4608"/>
          </w:tcPr>
          <w:p>
            <w:pPr>
              <w:keepNext/>
              <w:spacing w:after="80" w:line="240" w:lineRule="auto"/>
            </w:pPr>
            <w:r>
              <w:rPr>
                <w:rFonts w:ascii="Times New Roman" w:hAnsi="Times New Roman"/>
                <w:color w:val="000000"/>
                <w:sz w:val="18"/>
              </w:rPr>
              <w:t>Attack and defence Poisson</w:t>
            </w:r>
          </w:p>
        </w:tc>
        <w:tc>
          <w:tcPr>
            <w:tcW w:type="dxa" w:w="4896"/>
          </w:tcPr>
          <w:p>
            <w:pPr>
              <w:keepNext/>
              <w:spacing w:after="80" w:line="240" w:lineRule="auto"/>
            </w:pPr>
            <w:r>
              <w:rPr>
                <w:rFonts w:ascii="Times New Roman" w:hAnsi="Times New Roman"/>
                <w:color w:val="000000"/>
                <w:sz w:val="18"/>
              </w:rPr>
              <w:t>{"alpha": 0.01}</w:t>
            </w:r>
          </w:p>
        </w:tc>
      </w:tr>
      <w:tr>
        <w:trPr>
          <w:cantSplit/>
        </w:trPr>
        <w:tc>
          <w:tcPr>
            <w:tcW w:type="dxa" w:w="4608"/>
          </w:tcPr>
          <w:p>
            <w:pPr>
              <w:keepNext/>
              <w:spacing w:after="80" w:line="240" w:lineRule="auto"/>
            </w:pPr>
            <w:r>
              <w:rPr>
                <w:rFonts w:ascii="Times New Roman" w:hAnsi="Times New Roman"/>
                <w:color w:val="000000"/>
                <w:sz w:val="18"/>
              </w:rPr>
              <w:t>Bivariate Poisson</w:t>
            </w:r>
          </w:p>
        </w:tc>
        <w:tc>
          <w:tcPr>
            <w:tcW w:type="dxa" w:w="4896"/>
          </w:tcPr>
          <w:p>
            <w:pPr>
              <w:keepNext/>
              <w:spacing w:after="80" w:line="240" w:lineRule="auto"/>
            </w:pPr>
            <w:r>
              <w:rPr>
                <w:rFonts w:ascii="Times New Roman" w:hAnsi="Times New Roman"/>
                <w:color w:val="000000"/>
                <w:sz w:val="18"/>
              </w:rPr>
              <w:t>{"alpha": 1.0}</w:t>
            </w:r>
          </w:p>
        </w:tc>
      </w:tr>
      <w:tr>
        <w:trPr>
          <w:cantSplit/>
        </w:trPr>
        <w:tc>
          <w:tcPr>
            <w:tcW w:type="dxa" w:w="4608"/>
          </w:tcPr>
          <w:p>
            <w:pPr>
              <w:keepNext/>
              <w:spacing w:after="80" w:line="240" w:lineRule="auto"/>
            </w:pPr>
            <w:r>
              <w:rPr>
                <w:rFonts w:ascii="Times New Roman" w:hAnsi="Times New Roman"/>
                <w:color w:val="000000"/>
                <w:sz w:val="18"/>
              </w:rPr>
              <w:t>Poisson boosting</w:t>
            </w:r>
          </w:p>
        </w:tc>
        <w:tc>
          <w:tcPr>
            <w:tcW w:type="dxa" w:w="4896"/>
          </w:tcPr>
          <w:p>
            <w:pPr>
              <w:keepNext/>
              <w:spacing w:after="80" w:line="240" w:lineRule="auto"/>
            </w:pPr>
            <w:r>
              <w:rPr>
                <w:rFonts w:ascii="Times New Roman" w:hAnsi="Times New Roman"/>
                <w:color w:val="000000"/>
                <w:sz w:val="18"/>
              </w:rPr>
              <w:t>{"iterations": 100, "leaves": 7}</w:t>
            </w:r>
          </w:p>
        </w:tc>
      </w:tr>
      <w:tr>
        <w:trPr>
          <w:cantSplit/>
        </w:trPr>
        <w:tc>
          <w:tcPr>
            <w:tcW w:type="dxa" w:w="4608"/>
          </w:tcPr>
          <w:p>
            <w:pPr>
              <w:keepNext/>
              <w:spacing w:after="80" w:line="240" w:lineRule="auto"/>
            </w:pPr>
            <w:r>
              <w:rPr>
                <w:rFonts w:ascii="Times New Roman" w:hAnsi="Times New Roman"/>
                <w:color w:val="000000"/>
                <w:sz w:val="18"/>
              </w:rPr>
              <w:t>Forest Poisson proxy</w:t>
            </w:r>
          </w:p>
        </w:tc>
        <w:tc>
          <w:tcPr>
            <w:tcW w:type="dxa" w:w="4896"/>
          </w:tcPr>
          <w:p>
            <w:pPr>
              <w:keepNext/>
              <w:spacing w:after="80" w:line="240" w:lineRule="auto"/>
            </w:pPr>
            <w:r>
              <w:rPr>
                <w:rFonts w:ascii="Times New Roman" w:hAnsi="Times New Roman"/>
                <w:color w:val="000000"/>
                <w:sz w:val="18"/>
              </w:rPr>
              <w:t>{"leaf": 50}</w:t>
            </w:r>
          </w:p>
        </w:tc>
      </w:tr>
    </w:tbl>
    <w:p/>
    <w:p>
      <w:r>
        <w:br w:type="page"/>
      </w:r>
    </w:p>
    <w:p>
      <w:pPr>
        <w:pStyle w:val="Heading1"/>
      </w:pPr>
      <w:r>
        <w:t>Appendix C Exploratory development sensitivity</w:t>
      </w:r>
    </w:p>
    <w:p>
      <w:pPr>
        <w:keepLines/>
      </w:pPr>
      <w:r>
        <w:t>These follow-up checks were specified after the initial holdout evaluation. They access only season-start years 2016 through 2023 and do not change the frozen primary model, its configurations or any final-season score. Their status is exploratory rather than pre-specified confirmatory evidence.</w:t>
      </w:r>
    </w:p>
    <w:p>
      <w:pPr>
        <w:keepLines/>
      </w:pPr>
      <w:r>
        <w:t>The same Poisson search penalties and inner last-training-season validation are used for recent-form windows of 5, 10 and 40 games, with the original 10-game priors unchanged. A separate 20-game variant removes historical shots and attempts while retaining goal form, rest, home role and league rate.</w:t>
      </w:r>
    </w:p>
    <w:p>
      <w:pPr>
        <w:keepLines/>
      </w:pPr>
      <w:r>
        <w:t>A longer 40-game window has the lowest development NLL among these follow-up variants; the shorter windows are worse. Removing shot and attempt predictors increases development loss. This suggests that feature-history choices merit study, but the variants are not tested on the already-observed final season and are not promoted as a new primary model.</w:t>
      </w:r>
    </w:p>
    <w:p>
      <w:pPr>
        <w:keepLines/>
      </w:pPr>
      <w:r>
        <w:t>Any future choice of window or feature subset must be frozen using development data and evaluated on a new untouched test period. The follow-up results do not justify reusing the 2024-25 outcomes for optimization.</w:t>
      </w:r>
    </w:p>
    <w:tbl>
      <w:tblPr>
        <w:tblStyle w:val="TableGrid"/>
        <w:tblW w:type="auto" w:w="0"/>
        <w:tblLayout w:type="fixed"/>
        <w:tblLook w:firstColumn="1" w:firstRow="1" w:lastColumn="0" w:lastRow="0" w:noHBand="0" w:noVBand="1" w:val="04A0"/>
        <w:tblBorders>
          <w:top w:val="single" w:sz="4" w:color="CBCBCB"/>
          <w:left w:val="single" w:sz="4" w:color="CBCBCB"/>
          <w:bottom w:val="single" w:sz="4" w:color="CBCBCB"/>
          <w:right w:val="single" w:sz="4" w:color="CBCBCB"/>
          <w:insideH w:val="single" w:sz="4" w:color="CBCBCB"/>
          <w:insideV w:val="single" w:sz="4" w:color="CBCBCB"/>
        </w:tblBorders>
      </w:tblPr>
      <w:tblGrid>
        <w:gridCol w:w="3216"/>
        <w:gridCol w:w="3216"/>
        <w:gridCol w:w="3216"/>
      </w:tblGrid>
      <w:tr>
        <w:trPr>
          <w:tblHeader/>
          <w:cantSplit/>
        </w:trPr>
        <w:tc>
          <w:tcPr>
            <w:tcW w:type="dxa" w:w="4464"/>
            <w:shd w:fill="E7E7E7"/>
          </w:tcPr>
          <w:p>
            <w:pPr>
              <w:keepNext/>
              <w:spacing w:after="80" w:line="240" w:lineRule="auto"/>
            </w:pPr>
            <w:r>
              <w:rPr>
                <w:rFonts w:ascii="Times New Roman" w:hAnsi="Times New Roman"/>
                <w:b/>
                <w:color w:val="000000"/>
                <w:sz w:val="18"/>
              </w:rPr>
              <w:t>Development variant</w:t>
            </w:r>
          </w:p>
        </w:tc>
        <w:tc>
          <w:tcPr>
            <w:tcW w:type="dxa" w:w="1872"/>
            <w:shd w:fill="E7E7E7"/>
          </w:tcPr>
          <w:p>
            <w:pPr>
              <w:keepNext/>
              <w:spacing w:after="80" w:line="240" w:lineRule="auto"/>
            </w:pPr>
            <w:r>
              <w:rPr>
                <w:rFonts w:ascii="Times New Roman" w:hAnsi="Times New Roman"/>
                <w:b/>
                <w:color w:val="000000"/>
                <w:sz w:val="18"/>
              </w:rPr>
              <w:t>Joint NLL</w:t>
            </w:r>
          </w:p>
        </w:tc>
        <w:tc>
          <w:tcPr>
            <w:tcW w:type="dxa" w:w="3168"/>
            <w:shd w:fill="E7E7E7"/>
          </w:tcPr>
          <w:p>
            <w:pPr>
              <w:keepNext/>
              <w:spacing w:after="80" w:line="240" w:lineRule="auto"/>
            </w:pPr>
            <w:r>
              <w:rPr>
                <w:rFonts w:ascii="Times New Roman" w:hAnsi="Times New Roman"/>
                <w:b/>
                <w:color w:val="000000"/>
                <w:sz w:val="18"/>
              </w:rPr>
              <w:t>Difference from initial Poisson</w:t>
            </w:r>
          </w:p>
        </w:tc>
      </w:tr>
      <w:tr>
        <w:trPr>
          <w:cantSplit/>
        </w:trPr>
        <w:tc>
          <w:tcPr>
            <w:tcW w:type="dxa" w:w="4464"/>
          </w:tcPr>
          <w:p>
            <w:pPr>
              <w:keepNext/>
              <w:spacing w:after="80" w:line="240" w:lineRule="auto"/>
            </w:pPr>
            <w:r>
              <w:rPr>
                <w:rFonts w:ascii="Times New Roman" w:hAnsi="Times New Roman"/>
                <w:color w:val="000000"/>
                <w:sz w:val="18"/>
              </w:rPr>
              <w:t>Initial 20-game full features</w:t>
            </w:r>
          </w:p>
        </w:tc>
        <w:tc>
          <w:tcPr>
            <w:tcW w:type="dxa" w:w="1872"/>
          </w:tcPr>
          <w:p>
            <w:pPr>
              <w:keepNext/>
              <w:spacing w:after="80" w:line="240" w:lineRule="auto"/>
            </w:pPr>
            <w:r>
              <w:rPr>
                <w:rFonts w:ascii="Times New Roman" w:hAnsi="Times New Roman"/>
                <w:color w:val="000000"/>
                <w:sz w:val="18"/>
              </w:rPr>
              <w:t>3.82982</w:t>
            </w:r>
          </w:p>
        </w:tc>
        <w:tc>
          <w:tcPr>
            <w:tcW w:type="dxa" w:w="3168"/>
          </w:tcPr>
          <w:p>
            <w:pPr>
              <w:keepNext/>
              <w:spacing w:after="80" w:line="240" w:lineRule="auto"/>
            </w:pPr>
            <w:r>
              <w:rPr>
                <w:rFonts w:ascii="Times New Roman" w:hAnsi="Times New Roman"/>
                <w:color w:val="000000"/>
                <w:sz w:val="18"/>
              </w:rPr>
              <w:t>0.00000</w:t>
            </w:r>
          </w:p>
        </w:tc>
      </w:tr>
      <w:tr>
        <w:trPr>
          <w:cantSplit/>
        </w:trPr>
        <w:tc>
          <w:tcPr>
            <w:tcW w:type="dxa" w:w="4464"/>
          </w:tcPr>
          <w:p>
            <w:pPr>
              <w:keepNext/>
              <w:spacing w:after="80" w:line="240" w:lineRule="auto"/>
            </w:pPr>
            <w:r>
              <w:rPr>
                <w:rFonts w:ascii="Times New Roman" w:hAnsi="Times New Roman"/>
                <w:color w:val="000000"/>
                <w:sz w:val="18"/>
              </w:rPr>
              <w:t>window 10 full</w:t>
            </w:r>
          </w:p>
        </w:tc>
        <w:tc>
          <w:tcPr>
            <w:tcW w:type="dxa" w:w="1872"/>
          </w:tcPr>
          <w:p>
            <w:pPr>
              <w:keepNext/>
              <w:spacing w:after="80" w:line="240" w:lineRule="auto"/>
            </w:pPr>
            <w:r>
              <w:rPr>
                <w:rFonts w:ascii="Times New Roman" w:hAnsi="Times New Roman"/>
                <w:color w:val="000000"/>
                <w:sz w:val="18"/>
              </w:rPr>
              <w:t>3.83680</w:t>
            </w:r>
          </w:p>
        </w:tc>
        <w:tc>
          <w:tcPr>
            <w:tcW w:type="dxa" w:w="3168"/>
          </w:tcPr>
          <w:p>
            <w:pPr>
              <w:keepNext/>
              <w:spacing w:after="80" w:line="240" w:lineRule="auto"/>
            </w:pPr>
            <w:r>
              <w:rPr>
                <w:rFonts w:ascii="Times New Roman" w:hAnsi="Times New Roman"/>
                <w:color w:val="000000"/>
                <w:sz w:val="18"/>
              </w:rPr>
              <w:t>+0.00698</w:t>
            </w:r>
          </w:p>
        </w:tc>
      </w:tr>
      <w:tr>
        <w:trPr>
          <w:cantSplit/>
        </w:trPr>
        <w:tc>
          <w:tcPr>
            <w:tcW w:type="dxa" w:w="4464"/>
          </w:tcPr>
          <w:p>
            <w:pPr>
              <w:keepNext/>
              <w:spacing w:after="80" w:line="240" w:lineRule="auto"/>
            </w:pPr>
            <w:r>
              <w:rPr>
                <w:rFonts w:ascii="Times New Roman" w:hAnsi="Times New Roman"/>
                <w:color w:val="000000"/>
                <w:sz w:val="18"/>
              </w:rPr>
              <w:t>window 20 no shots attempts</w:t>
            </w:r>
          </w:p>
        </w:tc>
        <w:tc>
          <w:tcPr>
            <w:tcW w:type="dxa" w:w="1872"/>
          </w:tcPr>
          <w:p>
            <w:pPr>
              <w:keepNext/>
              <w:spacing w:after="80" w:line="240" w:lineRule="auto"/>
            </w:pPr>
            <w:r>
              <w:rPr>
                <w:rFonts w:ascii="Times New Roman" w:hAnsi="Times New Roman"/>
                <w:color w:val="000000"/>
                <w:sz w:val="18"/>
              </w:rPr>
              <w:t>3.84180</w:t>
            </w:r>
          </w:p>
        </w:tc>
        <w:tc>
          <w:tcPr>
            <w:tcW w:type="dxa" w:w="3168"/>
          </w:tcPr>
          <w:p>
            <w:pPr>
              <w:keepNext/>
              <w:spacing w:after="80" w:line="240" w:lineRule="auto"/>
            </w:pPr>
            <w:r>
              <w:rPr>
                <w:rFonts w:ascii="Times New Roman" w:hAnsi="Times New Roman"/>
                <w:color w:val="000000"/>
                <w:sz w:val="18"/>
              </w:rPr>
              <w:t>+0.01198</w:t>
            </w:r>
          </w:p>
        </w:tc>
      </w:tr>
      <w:tr>
        <w:trPr>
          <w:cantSplit/>
        </w:trPr>
        <w:tc>
          <w:tcPr>
            <w:tcW w:type="dxa" w:w="4464"/>
          </w:tcPr>
          <w:p>
            <w:pPr>
              <w:keepNext/>
              <w:spacing w:after="80" w:line="240" w:lineRule="auto"/>
            </w:pPr>
            <w:r>
              <w:rPr>
                <w:rFonts w:ascii="Times New Roman" w:hAnsi="Times New Roman"/>
                <w:color w:val="000000"/>
                <w:sz w:val="18"/>
              </w:rPr>
              <w:t>window 40 full</w:t>
            </w:r>
          </w:p>
        </w:tc>
        <w:tc>
          <w:tcPr>
            <w:tcW w:type="dxa" w:w="1872"/>
          </w:tcPr>
          <w:p>
            <w:pPr>
              <w:keepNext/>
              <w:spacing w:after="80" w:line="240" w:lineRule="auto"/>
            </w:pPr>
            <w:r>
              <w:rPr>
                <w:rFonts w:ascii="Times New Roman" w:hAnsi="Times New Roman"/>
                <w:color w:val="000000"/>
                <w:sz w:val="18"/>
              </w:rPr>
              <w:t>3.82494</w:t>
            </w:r>
          </w:p>
        </w:tc>
        <w:tc>
          <w:tcPr>
            <w:tcW w:type="dxa" w:w="3168"/>
          </w:tcPr>
          <w:p>
            <w:pPr>
              <w:keepNext/>
              <w:spacing w:after="80" w:line="240" w:lineRule="auto"/>
            </w:pPr>
            <w:r>
              <w:rPr>
                <w:rFonts w:ascii="Times New Roman" w:hAnsi="Times New Roman"/>
                <w:color w:val="000000"/>
                <w:sz w:val="18"/>
              </w:rPr>
              <w:t>-0.00488</w:t>
            </w:r>
          </w:p>
        </w:tc>
      </w:tr>
      <w:tr>
        <w:trPr>
          <w:cantSplit/>
        </w:trPr>
        <w:tc>
          <w:tcPr>
            <w:tcW w:type="dxa" w:w="4464"/>
          </w:tcPr>
          <w:p>
            <w:pPr>
              <w:keepNext/>
              <w:spacing w:after="80" w:line="240" w:lineRule="auto"/>
            </w:pPr>
            <w:r>
              <w:rPr>
                <w:rFonts w:ascii="Times New Roman" w:hAnsi="Times New Roman"/>
                <w:color w:val="000000"/>
                <w:sz w:val="18"/>
              </w:rPr>
              <w:t>window 5 full</w:t>
            </w:r>
          </w:p>
        </w:tc>
        <w:tc>
          <w:tcPr>
            <w:tcW w:type="dxa" w:w="1872"/>
          </w:tcPr>
          <w:p>
            <w:pPr>
              <w:keepNext/>
              <w:spacing w:after="80" w:line="240" w:lineRule="auto"/>
            </w:pPr>
            <w:r>
              <w:rPr>
                <w:rFonts w:ascii="Times New Roman" w:hAnsi="Times New Roman"/>
                <w:color w:val="000000"/>
                <w:sz w:val="18"/>
              </w:rPr>
              <w:t>3.84408</w:t>
            </w:r>
          </w:p>
        </w:tc>
        <w:tc>
          <w:tcPr>
            <w:tcW w:type="dxa" w:w="3168"/>
          </w:tcPr>
          <w:p>
            <w:pPr>
              <w:keepNext/>
              <w:spacing w:after="80" w:line="240" w:lineRule="auto"/>
            </w:pPr>
            <w:r>
              <w:rPr>
                <w:rFonts w:ascii="Times New Roman" w:hAnsi="Times New Roman"/>
                <w:color w:val="000000"/>
                <w:sz w:val="18"/>
              </w:rPr>
              <w:t>+0.01426</w:t>
            </w:r>
          </w:p>
        </w:tc>
      </w:tr>
    </w:tbl>
    <w:p/>
    <w:p>
      <w:pPr>
        <w:keepLines/>
      </w:pPr>
      <w:r>
        <w:t>Table 6. Game-weighted exploratory development loss over the same five seasons and 5,885 games. The initial frozen holdout and model-selection record are unchanged.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imes New Roman" w:hAnsi="Times New Roman" w:eastAsia="Times New Roman" w:cs="Times New Roman"/>
      <w:color w:val="000000"/>
      <w:spacing w:val="5"/>
      <w:kern w:val="28"/>
      <w:sz w:val="4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60"/>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Hockey League Goal Prediction</dc:title>
  <dc:subject>2026 revision and extension of the 2020 NHL honours project</dc:subject>
  <dc:creator>Howard R. Silvey</dc:creator>
  <cp:keywords>NHL, regulation goals, temporal validation, reproducible research</cp:keywords>
  <dc:description>generated by python-docx</dc:description>
  <cp:lastModifiedBy/>
  <cp:revision>1</cp:revision>
  <dcterms:created xsi:type="dcterms:W3CDTF">2013-12-23T23:15:00Z</dcterms:created>
  <dcterms:modified xsi:type="dcterms:W3CDTF">2013-12-23T23:15:00Z</dcterms:modified>
  <cp:category/>
</cp:coreProperties>
</file>