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9A6B16"/>
          <w:sz w:val="18"/>
        </w:rPr>
        <w:t>CUSTOMER MILESTONE BRIEF</w:t>
      </w:r>
    </w:p>
    <w:p>
      <w:pPr>
        <w:spacing w:after="160"/>
      </w:pPr>
      <w:r>
        <w:rPr>
          <w:rFonts w:ascii="Calibri" w:hAnsi="Calibri"/>
          <w:b/>
          <w:color w:val="0B2545"/>
          <w:sz w:val="56"/>
        </w:rPr>
        <w:t>MS #47 - Graph-Bound Live Evidence Control Tower</w:t>
      </w:r>
    </w:p>
    <w:p>
      <w:pPr>
        <w:spacing w:after="360"/>
      </w:pPr>
      <w:r>
        <w:rPr>
          <w:rFonts w:ascii="Calibri" w:hAnsi="Calibri"/>
          <w:color w:val="4B5563"/>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F2F4F7"/>
          </w:tcPr>
          <w:p>
            <w:r>
              <w:rPr>
                <w:rFonts w:ascii="Calibri" w:hAnsi="Calibri"/>
                <w:b/>
                <w:color w:val="1F4D78"/>
              </w:rPr>
              <w:t>Status</w:t>
            </w:r>
          </w:p>
        </w:tc>
        <w:tc>
          <w:tcPr>
            <w:tcW w:type="dxa" w:w="6660"/>
            <w:tcMar>
              <w:top w:w="80" w:type="dxa"/>
              <w:bottom w:w="80" w:type="dxa"/>
              <w:start w:w="120" w:type="dxa"/>
              <w:end w:w="120" w:type="dxa"/>
            </w:tcMar>
            <w:vAlign w:val="center"/>
          </w:tcPr>
          <w:p>
            <w:r>
              <w:rPr>
                <w:rFonts w:ascii="Calibri" w:hAnsi="Calibri"/>
              </w:rPr>
              <w:t>Complete</w:t>
            </w:r>
          </w:p>
        </w:tc>
      </w:tr>
      <w:tr>
        <w:tc>
          <w:tcPr>
            <w:tcW w:type="dxa" w:w="2700"/>
            <w:tcMar>
              <w:top w:w="80" w:type="dxa"/>
              <w:bottom w:w="80" w:type="dxa"/>
              <w:start w:w="120" w:type="dxa"/>
              <w:end w:w="120" w:type="dxa"/>
            </w:tcMar>
            <w:vAlign w:val="center"/>
            <w:shd w:fill="F2F4F7"/>
          </w:tcPr>
          <w:p>
            <w:r>
              <w:rPr>
                <w:rFonts w:ascii="Calibri" w:hAnsi="Calibri"/>
                <w:b/>
                <w:color w:val="1F4D78"/>
              </w:rPr>
              <w:t>Release</w:t>
            </w:r>
          </w:p>
        </w:tc>
        <w:tc>
          <w:tcPr>
            <w:tcW w:type="dxa" w:w="6660"/>
            <w:tcMar>
              <w:top w:w="80" w:type="dxa"/>
              <w:bottom w:w="80" w:type="dxa"/>
              <w:start w:w="120" w:type="dxa"/>
              <w:end w:w="120" w:type="dxa"/>
            </w:tcMar>
            <w:vAlign w:val="center"/>
          </w:tcPr>
          <w:p>
            <w:r>
              <w:rPr>
                <w:rFonts w:ascii="Calibri" w:hAnsi="Calibri"/>
              </w:rPr>
              <w:t>0.47.0</w:t>
            </w:r>
          </w:p>
        </w:tc>
      </w:tr>
      <w:tr>
        <w:tc>
          <w:tcPr>
            <w:tcW w:type="dxa" w:w="2700"/>
            <w:tcMar>
              <w:top w:w="80" w:type="dxa"/>
              <w:bottom w:w="80" w:type="dxa"/>
              <w:start w:w="120" w:type="dxa"/>
              <w:end w:w="120" w:type="dxa"/>
            </w:tcMar>
            <w:vAlign w:val="center"/>
            <w:shd w:fill="F2F4F7"/>
          </w:tcPr>
          <w:p>
            <w:r>
              <w:rPr>
                <w:rFonts w:ascii="Calibri" w:hAnsi="Calibri"/>
                <w:b/>
                <w:color w:val="1F4D78"/>
              </w:rPr>
              <w:t>Date</w:t>
            </w:r>
          </w:p>
        </w:tc>
        <w:tc>
          <w:tcPr>
            <w:tcW w:type="dxa" w:w="6660"/>
            <w:tcMar>
              <w:top w:w="80" w:type="dxa"/>
              <w:bottom w:w="80" w:type="dxa"/>
              <w:start w:w="120" w:type="dxa"/>
              <w:end w:w="120" w:type="dxa"/>
            </w:tcMar>
            <w:vAlign w:val="center"/>
          </w:tcPr>
          <w:p>
            <w:r>
              <w:rPr>
                <w:rFonts w:ascii="Calibri" w:hAnsi="Calibri"/>
              </w:rPr>
              <w:t>2026-08-31</w:t>
            </w:r>
          </w:p>
        </w:tc>
      </w:tr>
      <w:tr>
        <w:tc>
          <w:tcPr>
            <w:tcW w:type="dxa" w:w="2700"/>
            <w:tcMar>
              <w:top w:w="80" w:type="dxa"/>
              <w:bottom w:w="80" w:type="dxa"/>
              <w:start w:w="120" w:type="dxa"/>
              <w:end w:w="120" w:type="dxa"/>
            </w:tcMar>
            <w:vAlign w:val="center"/>
            <w:shd w:fill="F2F4F7"/>
          </w:tcPr>
          <w:p>
            <w:r>
              <w:rPr>
                <w:rFonts w:ascii="Calibri" w:hAnsi="Calibri"/>
                <w:b/>
                <w:color w:val="1F4D78"/>
              </w:rPr>
              <w:t>Audience</w:t>
            </w:r>
          </w:p>
        </w:tc>
        <w:tc>
          <w:tcPr>
            <w:tcW w:type="dxa" w:w="6660"/>
            <w:tcMar>
              <w:top w:w="80" w:type="dxa"/>
              <w:bottom w:w="80" w:type="dxa"/>
              <w:start w:w="120" w:type="dxa"/>
              <w:end w:w="120" w:type="dxa"/>
            </w:tcMar>
            <w:vAlign w:val="center"/>
          </w:tcPr>
          <w:p>
            <w:r>
              <w:rPr>
                <w:rFonts w:ascii="Calibri" w:hAnsi="Calibri"/>
              </w:rPr>
              <w:t>Customers, partners, executives, architects, delivery teams, and assurance reviewers</w:t>
            </w:r>
          </w:p>
        </w:tc>
      </w:tr>
    </w:tbl>
    <w:p>
      <w:pPr>
        <w:pStyle w:val="Heading1"/>
      </w:pPr>
      <w:r>
        <w:t>Executive summary</w:t>
      </w:r>
    </w:p>
    <w:p>
      <w:r>
        <w:t>MS #47 - Graph-Bound Live Evidence Control Tower converts a specific part of the LIGHTYEAR modernization approach into a governed, reviewable capability. Gives customers, operators, and executives a credible live command-post view whose status is visibly bound to the same Knowledge Graph identity used by the underlying evidence.</w:t>
      </w:r>
    </w:p>
    <w:p>
      <w:pPr>
        <w:pStyle w:val="Heading1"/>
      </w:pPr>
      <w:r>
        <w:t>Why this matters to a customer</w:t>
      </w:r>
    </w:p>
    <w:p>
      <w:r>
        <w:t>Gives customers, operators, and executives a credible live command-post view whose status is visibly bound to the same Knowledge Graph identity used by the underlying evidence.</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 Material-influenced product shell using the investor-deck palette: warm-white work surfaces, a near-black operational plane, gold hierarchy, bronze boundaries, modern sans-serif typography, sentence case, rounded controls, and more space.</w:t>
      </w:r>
    </w:p>
    <w:p>
      <w:pPr>
        <w:pStyle w:val="ListBullet"/>
      </w:pPr>
      <w:r>
        <w:t>A graph-bound Company to Business problem to Workload to Technology scope to Operator lens path in which the first selections constrain available workloads, the workload changes the graph root, and scope and lens refine the resulting graph.</w:t>
      </w:r>
    </w:p>
    <w:p>
      <w:pPr>
        <w:pStyle w:val="ListBullet"/>
      </w:pPr>
      <w:r>
        <w:t>A dedicated Knowledge Graph binding card showing canonical content identity, entity and relationship counts, freshness, and downstream binding status.</w:t>
      </w:r>
    </w:p>
    <w:p>
      <w:pPr>
        <w:pStyle w:val="ListBullet"/>
      </w:pPr>
      <w:r>
        <w:t>A first-class graph operational source covering the canonical graph snapshot and its source-evidence pack.</w:t>
      </w:r>
    </w:p>
    <w:p>
      <w:pPr>
        <w:pStyle w:val="ListBullet"/>
      </w:pPr>
      <w:r>
        <w:t>Hash-chained graph projection change events on the existing replayable Server-Sent Events plane plus a five-second freshness refresh between events.</w:t>
      </w:r>
    </w:p>
    <w:p>
      <w:pPr>
        <w:pStyle w:val="ListBullet"/>
      </w:pPr>
      <w:r>
        <w:t>Live graph reload that refreshes metadata, perspectives, operator context, legend, metrics, and the active graph view.</w:t>
      </w:r>
    </w:p>
    <w:p>
      <w:pPr>
        <w:pStyle w:val="ListBullet"/>
      </w:pPr>
      <w:r>
        <w:t>Fail-closed invalidation of the source-evidence pack, Runtime projection, or Audit projection when its graph identity no longer matches the canonical graph.</w:t>
      </w:r>
    </w:p>
    <w:p>
      <w:pPr>
        <w:pStyle w:val="ListBullet"/>
      </w:pPr>
      <w:r>
        <w:t>A critical alert for graph-binding invalidation and regression coverage across policy, HTTP, UI, identity, freshness, and documentation contracts.</w:t>
      </w:r>
    </w:p>
    <w:p>
      <w:pPr>
        <w:pStyle w:val="Heading1"/>
      </w:pPr>
      <w:r>
        <w:t>How it differs from earlier work</w:t>
      </w:r>
    </w:p>
    <w:p>
      <w:r>
        <w:t>MS #17 introduced the live read-only evidence plane, MS #46 added unified-estate navigation and trace, and MS #47 makes the canonical graph itself observable while bringing the interface to the LIGHTYEAR investor visual standard.</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graph-bound live evidence control tower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The Control Tower remains a read-only projection and does not gain approve, dispatch, retry, promote, or exception-authoring authority.</w:t>
      </w:r>
    </w:p>
    <w:p>
      <w:pPr>
        <w:pStyle w:val="ListBullet"/>
      </w:pPr>
      <w:r>
        <w:t>The local reference remains loopback-only and does not provide enterprise SSO, RBAC, managed streaming, or production hosting.</w:t>
      </w:r>
    </w:p>
    <w:p>
      <w:pPr>
        <w:pStyle w:val="ListBullet"/>
      </w:pPr>
      <w:r>
        <w:t>Graph freshness proves observation of the committed snapshot and evidence pack; it does not prove customer runtime behavior.</w:t>
      </w:r>
    </w:p>
    <w:p>
      <w:pPr>
        <w:pStyle w:val="ListBullet"/>
      </w:pPr>
      <w:r>
        <w:t>A graph change invalidates mismatched downstream evidence; it does not automatically regenerate or approve that evidence.</w:t>
      </w:r>
    </w:p>
    <w:p>
      <w:pPr>
        <w:pStyle w:val="ListBullet"/>
      </w:pPr>
      <w:r>
        <w:t>Customer execution evidence, native platform equivalence, and production readiness remain false.</w:t>
      </w:r>
    </w:p>
    <w:p>
      <w:pPr>
        <w:pStyle w:val="Heading1"/>
      </w:pPr>
      <w:r>
        <w:t>Source of record</w:t>
      </w:r>
    </w:p>
    <w:p>
      <w:pPr>
        <w:pStyle w:val="ListBullet"/>
      </w:pPr>
      <w:r>
        <w:t>CHANGELOG.md release section(s): 0.47.0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p>
      <w:pPr>
        <w:spacing w:before="200"/>
      </w:pPr>
      <w:r>
        <w:rPr>
          <w:rFonts w:ascii="Calibri" w:hAnsi="Calibri"/>
          <w:i/>
          <w:color w:val="6B7280"/>
          <w:sz w:val="18"/>
        </w:rPr>
        <w:t>The underlying schemas, receipts, ledgers, tests, and policy decisions remain authoritative when greater detail is required.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B7280"/>
        <w:sz w:val="17"/>
      </w:rPr>
      <w:t xml:space="preserve">MS #47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D7DBE2"/>
      </w:pBdr>
    </w:pPr>
    <w:r>
      <w:rPr>
        <w:rFonts w:ascii="Calibri" w:hAnsi="Calibri"/>
        <w:b/>
        <w:color w:val="6B7280"/>
        <w:sz w:val="17"/>
      </w:rPr>
      <w:t>LIGHTYEAR  |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#47 - Graph-Bound Live Evidence Control Tower</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