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 106 Signed Factory history and local authority</w:t>
      </w:r>
    </w:p>
    <w:p>
      <w:pPr/>
      <w:r>
        <w:rPr>
          <w:b w:val="0"/>
          <w:i w:val="0"/>
        </w:rPr>
        <w:t xml:space="preserve">Recorded October 14 2026. Implementation: </w:t>
      </w:r>
      <w:hyperlink r:id="rId11">
        <w:r>
          <w:rPr>
            <w:color w:val="244D79"/>
          </w:rPr>
          <w:t xml:space="preserve">PR #339</w:t>
        </w:r>
      </w:hyperlink>
      <w:r>
        <w:rPr>
          <w:b w:val="0"/>
          <w:i w:val="0"/>
        </w:rPr>
        <w:t>. Local activation was explicitly authorized by Howard.</w:t>
      </w:r>
    </w:p>
    <w:p>
      <w:pPr/>
      <w:r>
        <w:rPr>
          <w:b w:val="0"/>
          <w:i w:val="0"/>
        </w:rPr>
        <w:t>The local Factory Tower now has a signing authority, an operator identity and a signed import of seven historical public records. The configured Tower and Factory consumer require signed evidence. This gives the operator a verifiable history while preserving every original decision's date, scope and conditions.</w:t>
      </w:r>
    </w:p>
    <w:p>
      <w:pPr>
        <w:pStyle w:val="Heading1"/>
      </w:pPr>
      <w:r>
        <w:rPr>
          <w:b w:val="0"/>
          <w:i w:val="0"/>
        </w:rPr>
        <w:t>Complete historical import</w:t>
      </w:r>
    </w:p>
    <w:p>
      <w:pPr/>
      <w:r>
        <w:rPr>
          <w:b w:val="0"/>
          <w:i w:val="0"/>
        </w:rPr>
        <w:t>The importer inventories the recognized decision families at one exact source commit. It includes the original Howard decisions, scoped equivalence acceptances, duplicate-category approval, Phase 1 rerun authorization, B06 preparation and merge-hold lift. It rejects omissions, changed records, altered dates and mixed source revisions.</w:t>
      </w:r>
    </w:p>
    <w:p>
      <w:pPr/>
      <w:r>
        <w:rPr>
          <w:b w:val="0"/>
          <w:i w:val="0"/>
        </w:rPr>
        <w:t>Dates come from the records themselves. The B06 preparation timestamp remains a preparation date; it is not represented as a new approval or a signed runtime receipt. Signing the inventory does not turn a conditional approval into an effective decision.</w:t>
      </w:r>
    </w:p>
    <w:p>
      <w:pPr>
        <w:pStyle w:val="Heading1"/>
      </w:pPr>
      <w:r>
        <w:rPr>
          <w:b w:val="0"/>
          <w:i w:val="0"/>
        </w:rPr>
        <w:t>Local activation</w:t>
      </w:r>
    </w:p>
    <w:p>
      <w:pPr/>
      <w:r>
        <w:rPr>
          <w:b w:val="0"/>
          <w:i w:val="0"/>
        </w:rPr>
        <w:t xml:space="preserve">The Tower is installed as a user login service at </w:t>
      </w:r>
      <w:r>
        <w:rPr>
          <w:rFonts w:ascii="Courier New" w:hAnsi="Courier New"/>
          <w:b w:val="0"/>
          <w:i w:val="0"/>
          <w:sz w:val="18"/>
        </w:rPr>
        <w:t>http://127.0.0.1:8769/</w:t>
      </w:r>
      <w:r>
        <w:rPr>
          <w:b w:val="0"/>
          <w:i w:val="0"/>
        </w:rPr>
        <w:t>. Howard's identity has the operator, qualification-approver, campaign-authorizer and business-owner roles for the configured Factory workloads. The authority and private credentials are stored separately from the imported public evidence and are excluded from this publication.</w:t>
      </w:r>
    </w:p>
    <w:p>
      <w:pPr/>
      <w:r>
        <w:rPr>
          <w:b w:val="0"/>
          <w:i w:val="0"/>
        </w:rPr>
        <w:t xml:space="preserve">The installation pins runtime source </w:t>
      </w:r>
      <w:r>
        <w:rPr>
          <w:rFonts w:ascii="Courier New" w:hAnsi="Courier New"/>
          <w:b w:val="0"/>
          <w:i w:val="0"/>
          <w:sz w:val="18"/>
        </w:rPr>
        <w:t>5e36903a162c032179be2c97​e6cc0cd88e6dcfb3</w:t>
      </w:r>
      <w:r>
        <w:rPr>
          <w:b w:val="0"/>
          <w:i w:val="0"/>
        </w:rPr>
        <w:t xml:space="preserve"> and verifies its file manifest before startup. The public evidence snapshot retains commit </w:t>
      </w:r>
      <w:r>
        <w:rPr>
          <w:rFonts w:ascii="Courier New" w:hAnsi="Courier New"/>
          <w:b w:val="0"/>
          <w:i w:val="0"/>
          <w:sz w:val="18"/>
        </w:rPr>
        <w:t>b580b4f765fdd41eb505fc59​bbc998136ba23024</w:t>
      </w:r>
      <w:r>
        <w:rPr>
          <w:b w:val="0"/>
          <w:i w:val="0"/>
        </w:rPr>
        <w:t xml:space="preserve"> and the original experiment provenance. A newer display or installation commit does not create new experiment results.</w:t>
      </w:r>
    </w:p>
    <w:p>
      <w:pPr/>
      <w:r>
        <w:rPr>
          <w:b w:val="0"/>
          <w:i w:val="0"/>
        </w:rPr>
        <w:t>The signed backfill covers seven records. The local activation record confirms signed-only mode. The configured consumer launcher refreshes and verifies trust against the current journal head before use. This configuration applies to this installation; other checkouts and CI need their own explicit trust configuration.</w:t>
      </w:r>
    </w:p>
    <w:p>
      <w:pPr>
        <w:pStyle w:val="Heading1"/>
      </w:pPr>
      <w:r>
        <w:rPr>
          <w:b w:val="0"/>
          <w:i w:val="0"/>
        </w:rPr>
        <w:t>Validation and remaining boundaries</w:t>
      </w:r>
    </w:p>
    <w:p>
      <w:pPr/>
      <w:r>
        <w:rPr>
          <w:b w:val="0"/>
          <w:i w:val="0"/>
        </w:rPr>
        <w:t>The focused backfill tests passed on Linux, macOS and Windows. They cover complete import, signing, activation, tampered proof rejection, changed dates, missing records and preserved conditions. All 29 PR #339 checks completed successfully on the pinned implementation head.</w:t>
      </w:r>
    </w:p>
    <w:p>
      <w:pPr/>
      <w:r>
        <w:rPr>
          <w:b w:val="0"/>
          <w:i w:val="0"/>
        </w:rPr>
        <w:t>The local activation verification recorded Howard's four roles and the available program and status views. Operational records and private authority material remain local. This milestone does not authorize a POSTTRAN Phase 2 run, grant INTCALC release approval or provide the missing B06 attempt and cleanup receipts.</w:t>
      </w:r>
    </w:p>
    <w:p>
      <w:pPr>
        <w:pStyle w:val="Heading1"/>
      </w:pPr>
      <w:r>
        <w:rPr>
          <w:b w:val="0"/>
          <w:i w:val="0"/>
        </w:rPr>
        <w:t>Supporting evidence</w:t>
      </w:r>
    </w:p>
    <w:p>
      <w:pPr>
        <w:pStyle w:val="ListBullet"/>
      </w:pPr>
      <w:hyperlink r:id="rId12">
        <w:r>
          <w:rPr>
            <w:color w:val="244D79"/>
          </w:rPr>
          <w:t xml:space="preserve">Backfill and decision-console CI</w:t>
        </w:r>
      </w:hyperlink>
    </w:p>
    <w:p>
      <w:pPr>
        <w:pStyle w:val="ListBullet"/>
      </w:pPr>
      <w:hyperlink r:id="rId13">
        <w:r>
          <w:rPr>
            <w:color w:val="244D79"/>
          </w:rPr>
          <w:t xml:space="preserve">Complete inventory implementation</w:t>
        </w:r>
      </w:hyperlink>
    </w:p>
    <w:p>
      <w:pPr>
        <w:pStyle w:val="ListBullet"/>
      </w:pPr>
      <w:hyperlink r:id="rId14">
        <w:r>
          <w:rPr>
            <w:color w:val="244D79"/>
          </w:rPr>
          <w:t xml:space="preserve">Backfill and activation tests</w:t>
        </w:r>
      </w:hyperlink>
    </w:p>
    <w:p>
      <w:pPr>
        <w:pStyle w:val="ListBullet"/>
      </w:pPr>
      <w:hyperlink r:id="rId15">
        <w:r>
          <w:rPr>
            <w:color w:val="244D79"/>
          </w:rPr>
          <w:t xml:space="preserve">Earlier Tower delivery record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MS-106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pull/339" TargetMode="External"/><Relationship Id="rId12" Type="http://schemas.openxmlformats.org/officeDocument/2006/relationships/hyperlink" Target="https://github.com/howardweale/lightyear-carddemo-modernization/actions/runs/38666017164" TargetMode="External"/><Relationship Id="rId13" Type="http://schemas.openxmlformats.org/officeDocument/2006/relationships/hyperlink" Target="https://github.com/howardweale/lightyear-carddemo-modernization/blob/main/src/lightyear_control_tower/factory_history.py" TargetMode="External"/><Relationship Id="rId14" Type="http://schemas.openxmlformats.org/officeDocument/2006/relationships/hyperlink" Target="https://github.com/howardweale/lightyear-carddemo-modernization/blob/main/tests/test_decision_console_factory_backfill.py" TargetMode="External"/><Relationship Id="rId15" Type="http://schemas.openxmlformats.org/officeDocument/2006/relationships/hyperlink" Target="https://github.com/howardweale/lightyear-carddemo-modernization/blob/main/docs/milestones/MS-102/MS-102.md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106 Signed Factory history and local authority</dc:title>
  <dc:subject>Canonical milestone record and bounded evidence</dc:subject>
  <dc:creator>LIGHTYEAR</dc:creator>
  <cp:keywords/>
  <dc:description>Source SHA256: c9d2d1f96cac4275d208728d2adcd8d4268f52e6b12c1f6b8e4aa3a25fb57412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