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Arial" w:hAnsi="Arial"/>
          <w:b/>
          <w:color w:val="A7702C"/>
          <w:sz w:val="18"/>
        </w:rPr>
        <w:t>CUSTOMER MILESTONE BRIEF</w:t>
      </w:r>
    </w:p>
    <w:p>
      <w:pPr>
        <w:spacing w:after="160"/>
      </w:pPr>
      <w:r>
        <w:rPr>
          <w:rFonts w:ascii="Arial" w:hAnsi="Arial"/>
          <w:b/>
          <w:color w:val="15184D"/>
          <w:sz w:val="56"/>
        </w:rPr>
        <w:t>MS #50 - Oracle Semantic Coverage Program</w:t>
      </w:r>
    </w:p>
    <w:p>
      <w:pPr>
        <w:spacing w:after="360"/>
      </w:pPr>
      <w:r>
        <w:rPr>
          <w:rFonts w:ascii="Arial" w:hAnsi="Arial"/>
          <w:color w:val="676985"/>
          <w:sz w:val="27"/>
        </w:rPr>
        <w:t>Purpose, customer value, delivered capability, evidence, and claim boundaries</w:t>
      </w:r>
    </w:p>
    <w:tbl>
      <w:tblPr>
        <w:tblStyle w:val="TableGrid"/>
        <w:tblLook w:firstColumn="1" w:firstRow="1" w:lastColumn="0" w:lastRow="0" w:noHBand="0" w:noVBand="1" w:val="04A0"/>
        <w:tblW w:w="9360" w:type="dxa"/>
        <w:tblInd w:w="120" w:type="dxa"/>
        <w:tblLayout w:type="fixed"/>
      </w:tblPr>
      <w:tblGrid>
        <w:gridCol w:w="2700"/>
        <w:gridCol w:w="6660"/>
      </w:tblGrid>
      <w:tr>
        <w:tc>
          <w:tcPr>
            <w:tcW w:type="dxa" w:w="2700"/>
            <w:tcMar>
              <w:top w:w="80" w:type="dxa"/>
              <w:bottom w:w="80" w:type="dxa"/>
              <w:start w:w="120" w:type="dxa"/>
              <w:end w:w="120" w:type="dxa"/>
            </w:tcMar>
            <w:vAlign w:val="center"/>
            <w:shd w:fill="EFEBFB"/>
          </w:tcPr>
          <w:p>
            <w:r>
              <w:rPr>
                <w:rFonts w:ascii="Arial" w:hAnsi="Arial"/>
                <w:b/>
                <w:color w:val="15184D"/>
              </w:rPr>
              <w:t>Status</w:t>
            </w:r>
          </w:p>
        </w:tc>
        <w:tc>
          <w:tcPr>
            <w:tcW w:type="dxa" w:w="6660"/>
            <w:tcMar>
              <w:top w:w="80" w:type="dxa"/>
              <w:bottom w:w="80" w:type="dxa"/>
              <w:start w:w="120" w:type="dxa"/>
              <w:end w:w="120" w:type="dxa"/>
            </w:tcMar>
            <w:vAlign w:val="center"/>
          </w:tcPr>
          <w:p>
            <w:r>
              <w:rPr>
                <w:rFonts w:ascii="Arial" w:hAnsi="Arial"/>
              </w:rPr>
              <w:t>Complete</w:t>
            </w:r>
          </w:p>
        </w:tc>
      </w:tr>
      <w:tr>
        <w:tc>
          <w:tcPr>
            <w:tcW w:type="dxa" w:w="2700"/>
            <w:tcMar>
              <w:top w:w="80" w:type="dxa"/>
              <w:bottom w:w="80" w:type="dxa"/>
              <w:start w:w="120" w:type="dxa"/>
              <w:end w:w="120" w:type="dxa"/>
            </w:tcMar>
            <w:vAlign w:val="center"/>
            <w:shd w:fill="EFEBFB"/>
          </w:tcPr>
          <w:p>
            <w:r>
              <w:rPr>
                <w:rFonts w:ascii="Arial" w:hAnsi="Arial"/>
                <w:b/>
                <w:color w:val="15184D"/>
              </w:rPr>
              <w:t>Release</w:t>
            </w:r>
          </w:p>
        </w:tc>
        <w:tc>
          <w:tcPr>
            <w:tcW w:type="dxa" w:w="6660"/>
            <w:tcMar>
              <w:top w:w="80" w:type="dxa"/>
              <w:bottom w:w="80" w:type="dxa"/>
              <w:start w:w="120" w:type="dxa"/>
              <w:end w:w="120" w:type="dxa"/>
            </w:tcMar>
            <w:vAlign w:val="center"/>
          </w:tcPr>
          <w:p>
            <w:r>
              <w:rPr>
                <w:rFonts w:ascii="Arial" w:hAnsi="Arial"/>
              </w:rPr>
              <w:t>0.50.0</w:t>
            </w:r>
          </w:p>
        </w:tc>
      </w:tr>
      <w:tr>
        <w:tc>
          <w:tcPr>
            <w:tcW w:type="dxa" w:w="2700"/>
            <w:tcMar>
              <w:top w:w="80" w:type="dxa"/>
              <w:bottom w:w="80" w:type="dxa"/>
              <w:start w:w="120" w:type="dxa"/>
              <w:end w:w="120" w:type="dxa"/>
            </w:tcMar>
            <w:vAlign w:val="center"/>
            <w:shd w:fill="EFEBFB"/>
          </w:tcPr>
          <w:p>
            <w:r>
              <w:rPr>
                <w:rFonts w:ascii="Arial" w:hAnsi="Arial"/>
                <w:b/>
                <w:color w:val="15184D"/>
              </w:rPr>
              <w:t>Date</w:t>
            </w:r>
          </w:p>
        </w:tc>
        <w:tc>
          <w:tcPr>
            <w:tcW w:type="dxa" w:w="6660"/>
            <w:tcMar>
              <w:top w:w="80" w:type="dxa"/>
              <w:bottom w:w="80" w:type="dxa"/>
              <w:start w:w="120" w:type="dxa"/>
              <w:end w:w="120" w:type="dxa"/>
            </w:tcMar>
            <w:vAlign w:val="center"/>
          </w:tcPr>
          <w:p>
            <w:r>
              <w:rPr>
                <w:rFonts w:ascii="Arial" w:hAnsi="Arial"/>
              </w:rPr>
              <w:t>2026-09-01</w:t>
            </w:r>
          </w:p>
        </w:tc>
      </w:tr>
      <w:tr>
        <w:tc>
          <w:tcPr>
            <w:tcW w:type="dxa" w:w="2700"/>
            <w:tcMar>
              <w:top w:w="80" w:type="dxa"/>
              <w:bottom w:w="80" w:type="dxa"/>
              <w:start w:w="120" w:type="dxa"/>
              <w:end w:w="120" w:type="dxa"/>
            </w:tcMar>
            <w:vAlign w:val="center"/>
            <w:shd w:fill="EFEBFB"/>
          </w:tcPr>
          <w:p>
            <w:r>
              <w:rPr>
                <w:rFonts w:ascii="Arial" w:hAnsi="Arial"/>
                <w:b/>
                <w:color w:val="15184D"/>
              </w:rPr>
              <w:t>Audience</w:t>
            </w:r>
          </w:p>
        </w:tc>
        <w:tc>
          <w:tcPr>
            <w:tcW w:type="dxa" w:w="6660"/>
            <w:tcMar>
              <w:top w:w="80" w:type="dxa"/>
              <w:bottom w:w="80" w:type="dxa"/>
              <w:start w:w="120" w:type="dxa"/>
              <w:end w:w="120" w:type="dxa"/>
            </w:tcMar>
            <w:vAlign w:val="center"/>
          </w:tcPr>
          <w:p>
            <w:r>
              <w:rPr>
                <w:rFonts w:ascii="Arial" w:hAnsi="Arial"/>
              </w:rPr>
              <w:t>Customers, partners, executives, architects, delivery teams, and assurance reviewers</w:t>
            </w:r>
          </w:p>
        </w:tc>
      </w:tr>
    </w:tbl>
    <w:p>
      <w:pPr>
        <w:pStyle w:val="Heading1"/>
      </w:pPr>
      <w:r>
        <w:t>Executive summary</w:t>
      </w:r>
    </w:p>
    <w:p>
      <w:r>
        <w:t>MS #50 - Oracle Semantic Coverage Program converts a specific part of the LIGHTYEAR modernization approach into a governed, reviewable capability. Gives database architects a quantified, evidence-levelled Oracle coverage answer instead of presenting eight mechanism fixtures as broad support.</w:t>
      </w:r>
    </w:p>
    <w:p>
      <w:pPr>
        <w:pStyle w:val="Heading1"/>
      </w:pPr>
      <w:r>
        <w:t>Why this matters to a customer</w:t>
      </w:r>
    </w:p>
    <w:p>
      <w:r>
        <w:t>Gives database architects a quantified, evidence-levelled Oracle coverage answer instead of presenting eight mechanism fixtures as broad support.</w:t>
      </w:r>
    </w:p>
    <w:p>
      <w:r>
        <w:t>The practical result is a narrower, evidence-backed decision instead of a broad modernization claim. Commercial, architecture, delivery, security, and assurance teams can review the same capability, proof, and limits.</w:t>
      </w:r>
    </w:p>
    <w:p>
      <w:pPr>
        <w:pStyle w:val="Heading1"/>
      </w:pPr>
      <w:r>
        <w:t>What the milestone delivers</w:t>
      </w:r>
    </w:p>
    <w:p>
      <w:pPr>
        <w:pStyle w:val="ListBullet"/>
      </w:pPr>
      <w:r>
        <w:t>A catalog of 500 stable Oracle behavior contracts and 2,000 case specifications across ten exact domains.</w:t>
      </w:r>
    </w:p>
    <w:p>
      <w:pPr>
        <w:pStyle w:val="ListBullet"/>
      </w:pPr>
      <w:r>
        <w:t>Oracle documentation authority, a 19c baseline, a 26ai delta, and four required case dimensions for every behavior.</w:t>
      </w:r>
    </w:p>
    <w:p>
      <w:pPr>
        <w:pStyle w:val="ListBullet"/>
      </w:pPr>
      <w:r>
        <w:t>Bindings from the eight MS #49 fixtures to exact behavior IDs without promoting bounded-model results into native evidence.</w:t>
      </w:r>
    </w:p>
    <w:p>
      <w:pPr>
        <w:pStyle w:val="ListBullet"/>
      </w:pPr>
      <w:r>
        <w:t>An evidence ladder reporting 500 catalogued, 8 bounded-model verified, 0 native-verified, and 0 target-equivalent behaviors.</w:t>
      </w:r>
    </w:p>
    <w:p>
      <w:pPr>
        <w:pStyle w:val="ListBullet"/>
      </w:pPr>
      <w:r>
        <w:t>Deterministic artifacts, two JSON Schemas, cross-platform verification, and adversarial drift and overclaim tests.</w:t>
      </w:r>
    </w:p>
    <w:p>
      <w:pPr>
        <w:pStyle w:val="Heading1"/>
      </w:pPr>
      <w:r>
        <w:t>How it differs from earlier work</w:t>
      </w:r>
    </w:p>
    <w:p>
      <w:r>
        <w:t>MS #49 proved the mechanism with eight fixtures and 24 cases. MS #50 makes them bootstrap evidence inside a governed broad-coverage program.</w:t>
      </w:r>
    </w:p>
    <w:p>
      <w:r>
        <w:t>Earlier evidence is not automatically promoted into this milestone. A parser, simulator, local comparison, or generated artifact is not live platform equivalence or production readiness.</w:t>
      </w:r>
    </w:p>
    <w:p>
      <w:pPr>
        <w:pStyle w:val="Heading1"/>
      </w:pPr>
      <w:r>
        <w:t>What a customer can do with it</w:t>
      </w:r>
    </w:p>
    <w:p>
      <w:r>
        <w:t>A customer can use oracle semantic coverage program as a bounded decision and delivery capability, attached to approved sources, owners, policies, target architecture, acceptance criteria, and authorized evidence.</w:t>
      </w:r>
    </w:p>
    <w:p>
      <w:r>
        <w:t>Unresolved semantic loss, policy decisions, unsupported behavior, and live-evidence requirements remain visible.</w:t>
      </w:r>
    </w:p>
    <w:p>
      <w:pPr>
        <w:pStyle w:val="Heading1"/>
      </w:pPr>
      <w:r>
        <w:t>Evidence and acceptance posture</w:t>
      </w:r>
    </w:p>
    <w:p>
      <w:r>
        <w:t>The repository capability is complete because its committed implementation and release record are present. Customer qualification remains claim-specific and evidence-class-specific.</w:t>
      </w:r>
    </w:p>
    <w:p>
      <w:r>
        <w:t>Review exact source and artifact identities, distinguish development from authorized live evidence, inspect policy and loss classifications, confirm passed and blocked gates, and verify that later changes have not invalidated the evidence.</w:t>
      </w:r>
    </w:p>
    <w:p>
      <w:pPr>
        <w:pStyle w:val="Heading1"/>
      </w:pPr>
      <w:r>
        <w:t>Boundaries and claims not made</w:t>
      </w:r>
    </w:p>
    <w:p>
      <w:pPr>
        <w:pStyle w:val="ListBullet"/>
      </w:pPr>
      <w:r>
        <w:t>The 500 behaviors and 2,000 cases are governed obligations, not implemented or executed capabilities; only 24 bootstrap cases have bounded-model evidence.</w:t>
      </w:r>
    </w:p>
    <w:p>
      <w:pPr>
        <w:pStyle w:val="ListBullet"/>
      </w:pPr>
      <w:r>
        <w:t>No native Oracle 19c or 26ai execution receipt exists.</w:t>
      </w:r>
    </w:p>
    <w:p>
      <w:pPr>
        <w:pStyle w:val="ListBullet"/>
      </w:pPr>
      <w:r>
        <w:t>Catalogued is not supported; bounded-model verified is not native conformant; native verified is not target equivalent.</w:t>
      </w:r>
    </w:p>
    <w:p>
      <w:pPr>
        <w:pStyle w:val="ListBullet"/>
      </w:pPr>
      <w:r>
        <w:t>iDempiere projection and CloudBank mapping remain incomplete.</w:t>
      </w:r>
    </w:p>
    <w:p>
      <w:pPr>
        <w:pStyle w:val="ListBullet"/>
      </w:pPr>
      <w:r>
        <w:t>Native conformance, application equivalence, migration completion, and production readiness remain false.</w:t>
      </w:r>
    </w:p>
    <w:p>
      <w:pPr>
        <w:pStyle w:val="Heading1"/>
      </w:pPr>
      <w:r>
        <w:t>Source of record</w:t>
      </w:r>
    </w:p>
    <w:p>
      <w:pPr>
        <w:pStyle w:val="ListBullet"/>
      </w:pPr>
      <w:r>
        <w:t>CHANGELOG.md release section(s): 0.50.0</w:t>
      </w:r>
    </w:p>
    <w:p>
      <w:pPr>
        <w:pStyle w:val="ListBullet"/>
      </w:pPr>
      <w:r>
        <w:t>README.md product and operating guidance</w:t>
      </w:r>
    </w:p>
    <w:p>
      <w:pPr>
        <w:pStyle w:val="ListBullet"/>
      </w:pPr>
      <w:r>
        <w:t>LIGHTYEAR-ROADMAP.md governing sequence and claim classifications</w:t>
      </w:r>
    </w:p>
    <w:p>
      <w:pPr>
        <w:pStyle w:val="ListBullet"/>
      </w:pPr>
      <w:r>
        <w:t>docs/milestones/catalog.json metadata and docs/milestones/manifest.json artifact integrity</w:t>
      </w:r>
    </w:p>
    <w:sectPr w:rsidR="00FC693F" w:rsidRPr="0006063C" w:rsidSect="00034616">
      <w:headerReference w:type="default" r:id="rId9"/>
      <w:footerReference w:type="default" r:id="rId10"/>
      <w:pgSz w:w="12240" w:h="15840"/>
      <w:pgMar w:top="1267" w:right="1440" w:bottom="1440" w:left="1440" w:header="403"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Look w:firstColumn="1" w:firstRow="1" w:lastColumn="0" w:lastRow="0" w:noHBand="0" w:noVBand="1" w:val="04A0"/>
      <w:tblW w:w="9360" w:type="dxa"/>
      <w:tblInd w:w="0" w:type="dxa"/>
      <w:tblLayout w:type="fixed"/>
    </w:tblPr>
    <w:tblGrid>
      <w:gridCol w:w="6000"/>
      <w:gridCol w:w="3360"/>
    </w:tblGrid>
    <w:tr>
      <w:tc>
        <w:tcPr>
          <w:tcW w:type="dxa" w:w="6000"/>
          <w:tcMar>
            <w:top w:w="80" w:type="dxa"/>
            <w:bottom w:w="80" w:type="dxa"/>
            <w:start w:w="120" w:type="dxa"/>
            <w:end w:w="120" w:type="dxa"/>
          </w:tcMar>
          <w:vAlign w:val="center"/>
        </w:tcPr>
        <w:p>
          <w:pPr>
            <w:spacing w:after="0"/>
            <w:jc w:val="left"/>
          </w:pPr>
          <w:r>
            <w:rPr>
              <w:rFonts w:ascii="Arial" w:hAnsi="Arial"/>
              <w:color w:val="676985"/>
              <w:sz w:val="15"/>
            </w:rPr>
            <w:t>Underlying evidence remains authoritative.</w:t>
          </w:r>
        </w:p>
      </w:tc>
      <w:tc>
        <w:tcPr>
          <w:tcW w:type="dxa" w:w="3360"/>
          <w:tcMar>
            <w:top w:w="80" w:type="dxa"/>
            <w:bottom w:w="80" w:type="dxa"/>
            <w:start w:w="120" w:type="dxa"/>
            <w:end w:w="120" w:type="dxa"/>
          </w:tcMar>
          <w:vAlign w:val="center"/>
        </w:tcPr>
        <w:p>
          <w:pPr>
            <w:spacing w:after="0"/>
            <w:jc w:val="right"/>
          </w:pPr>
          <w:r>
            <w:rPr>
              <w:rFonts w:ascii="Arial" w:hAnsi="Arial"/>
              <w:color w:val="676985"/>
              <w:sz w:val="17"/>
            </w:rPr>
            <w:t xml:space="preserve">MS #50  |  Page </w:t>
          </w:r>
          <w:r>
            <w:fldChar w:fldCharType="begin"/>
            <w:instrText> PAGE </w:instrText>
            <w:fldChar w:fldCharType="separate"/>
            <w:t>1</w:t>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pBdr>
        <w:bottom w:val="single" w:sz="7" w:space="3" w:color="A7702C"/>
      </w:pBdr>
    </w:pPr>
    <w:r>
      <w:drawing>
        <wp:inline xmlns:a="http://schemas.openxmlformats.org/drawingml/2006/main" xmlns:pic="http://schemas.openxmlformats.org/drawingml/2006/picture">
          <wp:extent cx="960120" cy="586313"/>
          <wp:docPr id="1" name="Picture 1"/>
          <wp:cNvGraphicFramePr>
            <a:graphicFrameLocks noChangeAspect="1"/>
          </wp:cNvGraphicFramePr>
          <a:graphic>
            <a:graphicData uri="http://schemas.openxmlformats.org/drawingml/2006/picture">
              <pic:pic>
                <pic:nvPicPr>
                  <pic:cNvPr id="0" name="lightyear-primary.png"/>
                  <pic:cNvPicPr/>
                </pic:nvPicPr>
                <pic:blipFill>
                  <a:blip r:embed="rId1"/>
                  <a:stretch>
                    <a:fillRect/>
                  </a:stretch>
                </pic:blipFill>
                <pic:spPr>
                  <a:xfrm>
                    <a:off x="0" y="0"/>
                    <a:ext cx="960120" cy="586313"/>
                  </a:xfrm>
                  <a:prstGeom prst="rect"/>
                </pic:spPr>
              </pic:pic>
            </a:graphicData>
          </a:graphic>
        </wp:inline>
      </w:drawing>
    </w:r>
    <w:r>
      <w:rPr>
        <w:rFonts w:ascii="Arial" w:hAnsi="Arial"/>
        <w:b/>
        <w:color w:val="676985"/>
        <w:sz w:val="16"/>
      </w:rPr>
      <w:t xml:space="preserve">   MILESTONE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color w:val="15184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ascii="Arial" w:hAnsi="Arial"/>
      <w:b/>
      <w:bCs/>
      <w:color w:val="7D57EA"/>
      <w:sz w:val="31"/>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b/>
      <w:bCs/>
      <w:color w:val="7D57EA"/>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15184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line="264" w:lineRule="auto"/>
      <w:ind w:left="720" w:hanging="36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00" w:line="264" w:lineRule="auto"/>
      <w:ind w:left="720" w:hanging="36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 #50 - Oracle Semantic Coverage Program</dc:title>
  <dc:subject>LIGHTYEAR customer milestone documentation</dc:subject>
  <dc:creator>LIGHTYEAR</dc:creator>
  <cp:keywords/>
  <dc:description>generated by python-docx</dc:description>
  <cp:lastModifiedBy/>
  <cp:revision>1</cp:revision>
  <dcterms:created xsi:type="dcterms:W3CDTF">2026-08-31T12:00:00Z</dcterms:created>
  <dcterms:modified xsi:type="dcterms:W3CDTF">2026-08-31T12:00:00Z</dcterms:modified>
  <cp:category/>
</cp:coreProperties>
</file>