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#47 - Graph-Bound Live Evidence Control Tower</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0.47.0, 0.47.1, 0.47.2</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2026-09-01</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#47 - Graph-Bound Live Evidence Control Tower converts a specific part of the LIGHTYEAR modernization approach into a governed, reviewable capability. Gives customers, operators, and executives a credible live command-post view whose status is visibly bound to the same Knowledge Graph identity used by the underlying evidence.</w:t>
      </w:r>
    </w:p>
    <w:p>
      <w:pPr>
        <w:pStyle w:val="Heading1"/>
      </w:pPr>
      <w:r>
        <w:t>Why this matters to a customer</w:t>
      </w:r>
    </w:p>
    <w:p>
      <w:r>
        <w:t>Gives customers, operators, and executives a credible live command-post view whose status is visibly bound to the same Knowledge Graph identity used by the underlying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An approved warm editorial product shell using paper-white work surfaces, quiet stone rails, burnt-orange hierarchy, locally served IBM Plex typography, sentence case, rounded controls, and visible interaction states.</w:t>
      </w:r>
    </w:p>
    <w:p>
      <w:pPr>
        <w:pStyle w:val="ListBullet"/>
      </w:pPr>
      <w:r>
        <w:t>A graph-bound Company to Business problem to Workload to Technology scope to Operator lens path with session-stable estate context separated from active work controls.</w:t>
      </w:r>
    </w:p>
    <w:p>
      <w:pPr>
        <w:pStyle w:val="ListBullet"/>
      </w:pPr>
      <w:r>
        <w:t>A dedicated Knowledge Graph binding card showing canonical content identity, entity and relationship counts, freshness, and downstream binding status.</w:t>
      </w:r>
    </w:p>
    <w:p>
      <w:pPr>
        <w:pStyle w:val="ListBullet"/>
      </w:pPr>
      <w:r>
        <w:t>A labelled claim band showing one snapshot identity plus explicit entity, relationship, rule, and validated-extension values.</w:t>
      </w:r>
    </w:p>
    <w:p>
      <w:pPr>
        <w:pStyle w:val="ListBullet"/>
      </w:pPr>
      <w:r>
        <w:t>A 70-node readability guard with package-collapse, rules-and-proof, legacy-to-modern, and explicit full-render choices, plus pill-backed graph labels.</w:t>
      </w:r>
    </w:p>
    <w:p>
      <w:pPr>
        <w:pStyle w:val="ListBullet"/>
      </w:pPr>
      <w:r>
        <w:t>A proof-oriented workload action that opens the existing governed proof-run evidence from the inspector.</w:t>
      </w:r>
    </w:p>
    <w:p>
      <w:pPr>
        <w:pStyle w:val="ListBullet"/>
      </w:pPr>
      <w:r>
        <w:t>A first-class graph operational source with hash-chained change events, five-second freshness refresh, and fail-closed downstream identity validation.</w:t>
      </w:r>
    </w:p>
    <w:p>
      <w:pPr>
        <w:pStyle w:val="ListBullet"/>
      </w:pPr>
      <w:r>
        <w:t>Default refusal of non-loopback binds, an explicit exposure override, and a generated per-session bearer token required for verifier-audience HTTP routes.</w:t>
      </w:r>
    </w:p>
    <w:p>
      <w:pPr>
        <w:pStyle w:val="ListBullet"/>
      </w:pPr>
      <w:r>
        <w:t>Locally served SIL-OFL IBM Plex webfonts with no Google Fonts or other runtime asset request.</w:t>
      </w:r>
    </w:p>
    <w:p>
      <w:pPr>
        <w:pStyle w:val="ListBullet"/>
      </w:pPr>
      <w:r>
        <w:t>Regression coverage across policy, HTTP authorization, UI contracts, graph binding, freshness, and documentation.</w:t>
      </w:r>
    </w:p>
    <w:p>
      <w:pPr>
        <w:pStyle w:val="Heading1"/>
      </w:pPr>
      <w:r>
        <w:t>How it differs from earlier work</w:t>
      </w:r>
    </w:p>
    <w:p>
      <w:r>
        <w:t>MS #17 introduced the live read-only evidence plane, MS #46 added unified-estate navigation and trace, and MS #47 makes the canonical graph itself observable. MS #47.1 and #47.2 close the independent visual, usability, density, and local-transport review without weakening the evidence boundary.</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graph-bound live evidence control tower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Control Tower remains a read-only projection and does not gain approve, dispatch, retry, promote, or exception-authoring authority.</w:t>
      </w:r>
    </w:p>
    <w:p>
      <w:pPr>
        <w:pStyle w:val="ListBullet"/>
      </w:pPr>
      <w:r>
        <w:t>Implementer routes remain unauthenticated and are safe only on loopback; the explicit non-loopback override does not make a deployment secure.</w:t>
      </w:r>
    </w:p>
    <w:p>
      <w:pPr>
        <w:pStyle w:val="ListBullet"/>
      </w:pPr>
      <w:r>
        <w:t>The verifier token is per-session audience authorization, not enterprise identity, RBAC, or a substitute for customer SSO/OIDC at a reverse proxy.</w:t>
      </w:r>
    </w:p>
    <w:p>
      <w:pPr>
        <w:pStyle w:val="ListBullet"/>
      </w:pPr>
      <w:r>
        <w:t>Graph freshness proves observation of the committed snapshot and evidence pack; it does not prove customer runtime behavior.</w:t>
      </w:r>
    </w:p>
    <w:p>
      <w:pPr>
        <w:pStyle w:val="ListBullet"/>
      </w:pPr>
      <w:r>
        <w:t>A graph change invalidates mismatched downstream evidence; it does not automatically regenerate or approve that evidence.</w:t>
      </w:r>
    </w:p>
    <w:p>
      <w:pPr>
        <w:pStyle w:val="ListBullet"/>
      </w:pPr>
      <w:r>
        <w:t>Customer execution evidence, native platform equivalence, and production readiness remain false.</w:t>
      </w:r>
    </w:p>
    <w:p>
      <w:pPr>
        <w:pStyle w:val="Heading1"/>
      </w:pPr>
      <w:r>
        <w:t>Source of record</w:t>
      </w:r>
    </w:p>
    <w:p>
      <w:pPr>
        <w:pStyle w:val="ListBullet"/>
      </w:pPr>
      <w:r>
        <w:t>CHANGELOG.md release section(s): 0.47.0, 0.47.1, 0.47.2</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#47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#47 - Graph-Bound Live Evidence Control Tower</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