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rFonts w:ascii="Arial" w:hAnsi="Arial"/>
          <w:b/>
          <w:color w:val="A7702C"/>
          <w:sz w:val="18"/>
        </w:rPr>
        <w:t>CUSTOMER MILESTONE BRIEF</w:t>
      </w:r>
    </w:p>
    <w:p>
      <w:pPr>
        <w:spacing w:after="160"/>
      </w:pPr>
      <w:r>
        <w:rPr>
          <w:rFonts w:ascii="Arial" w:hAnsi="Arial"/>
          <w:b/>
          <w:color w:val="15184D"/>
          <w:sz w:val="56"/>
        </w:rPr>
        <w:t>MS #55 - CloudBank Customer PostgreSQL Mapping</w:t>
      </w:r>
    </w:p>
    <w:p>
      <w:pPr>
        <w:spacing w:after="360"/>
      </w:pPr>
      <w:r>
        <w:rPr>
          <w:rFonts w:ascii="Arial" w:hAnsi="Arial"/>
          <w:color w:val="676985"/>
          <w:sz w:val="27"/>
        </w:rPr>
        <w:t>Purpose, customer value, delivered capability, evidence, and claim boundaries</w:t>
      </w:r>
    </w:p>
    <w:tbl>
      <w:tblPr>
        <w:tblStyle w:val="TableGrid"/>
        <w:tblLook w:firstColumn="1" w:firstRow="1" w:lastColumn="0" w:lastRow="0" w:noHBand="0" w:noVBand="1" w:val="04A0"/>
        <w:tblW w:w="9360" w:type="dxa"/>
        <w:tblInd w:w="120" w:type="dxa"/>
        <w:tblLayout w:type="fixed"/>
      </w:tblPr>
      <w:tblGrid>
        <w:gridCol w:w="2700"/>
        <w:gridCol w:w="6660"/>
      </w:tblGrid>
      <w:tr>
        <w:tc>
          <w:tcPr>
            <w:tcW w:type="dxa" w:w="2700"/>
            <w:tcMar>
              <w:top w:w="80" w:type="dxa"/>
              <w:bottom w:w="80" w:type="dxa"/>
              <w:start w:w="120" w:type="dxa"/>
              <w:end w:w="120" w:type="dxa"/>
            </w:tcMar>
            <w:vAlign w:val="center"/>
            <w:shd w:fill="EFEBFB"/>
          </w:tcPr>
          <w:p>
            <w:r>
              <w:rPr>
                <w:rFonts w:ascii="Arial" w:hAnsi="Arial"/>
                <w:b/>
                <w:color w:val="15184D"/>
              </w:rPr>
              <w:t>Status</w:t>
            </w:r>
          </w:p>
        </w:tc>
        <w:tc>
          <w:tcPr>
            <w:tcW w:type="dxa" w:w="6660"/>
            <w:tcMar>
              <w:top w:w="80" w:type="dxa"/>
              <w:bottom w:w="80" w:type="dxa"/>
              <w:start w:w="120" w:type="dxa"/>
              <w:end w:w="120" w:type="dxa"/>
            </w:tcMar>
            <w:vAlign w:val="center"/>
          </w:tcPr>
          <w:p>
            <w:r>
              <w:rPr>
                <w:rFonts w:ascii="Arial" w:hAnsi="Arial"/>
              </w:rPr>
              <w:t>Complete</w:t>
            </w:r>
          </w:p>
        </w:tc>
      </w:tr>
      <w:tr>
        <w:tc>
          <w:tcPr>
            <w:tcW w:type="dxa" w:w="2700"/>
            <w:tcMar>
              <w:top w:w="80" w:type="dxa"/>
              <w:bottom w:w="80" w:type="dxa"/>
              <w:start w:w="120" w:type="dxa"/>
              <w:end w:w="120" w:type="dxa"/>
            </w:tcMar>
            <w:vAlign w:val="center"/>
            <w:shd w:fill="EFEBFB"/>
          </w:tcPr>
          <w:p>
            <w:r>
              <w:rPr>
                <w:rFonts w:ascii="Arial" w:hAnsi="Arial"/>
                <w:b/>
                <w:color w:val="15184D"/>
              </w:rPr>
              <w:t>Release</w:t>
            </w:r>
          </w:p>
        </w:tc>
        <w:tc>
          <w:tcPr>
            <w:tcW w:type="dxa" w:w="6660"/>
            <w:tcMar>
              <w:top w:w="80" w:type="dxa"/>
              <w:bottom w:w="80" w:type="dxa"/>
              <w:start w:w="120" w:type="dxa"/>
              <w:end w:w="120" w:type="dxa"/>
            </w:tcMar>
            <w:vAlign w:val="center"/>
          </w:tcPr>
          <w:p>
            <w:r>
              <w:rPr>
                <w:rFonts w:ascii="Arial" w:hAnsi="Arial"/>
              </w:rPr>
              <w:t>0.55.0</w:t>
            </w:r>
          </w:p>
        </w:tc>
      </w:tr>
      <w:tr>
        <w:tc>
          <w:tcPr>
            <w:tcW w:type="dxa" w:w="2700"/>
            <w:tcMar>
              <w:top w:w="80" w:type="dxa"/>
              <w:bottom w:w="80" w:type="dxa"/>
              <w:start w:w="120" w:type="dxa"/>
              <w:end w:w="120" w:type="dxa"/>
            </w:tcMar>
            <w:vAlign w:val="center"/>
            <w:shd w:fill="EFEBFB"/>
          </w:tcPr>
          <w:p>
            <w:r>
              <w:rPr>
                <w:rFonts w:ascii="Arial" w:hAnsi="Arial"/>
                <w:b/>
                <w:color w:val="15184D"/>
              </w:rPr>
              <w:t>Date</w:t>
            </w:r>
          </w:p>
        </w:tc>
        <w:tc>
          <w:tcPr>
            <w:tcW w:type="dxa" w:w="6660"/>
            <w:tcMar>
              <w:top w:w="80" w:type="dxa"/>
              <w:bottom w:w="80" w:type="dxa"/>
              <w:start w:w="120" w:type="dxa"/>
              <w:end w:w="120" w:type="dxa"/>
            </w:tcMar>
            <w:vAlign w:val="center"/>
          </w:tcPr>
          <w:p>
            <w:r>
              <w:rPr>
                <w:rFonts w:ascii="Arial" w:hAnsi="Arial"/>
              </w:rPr>
              <w:t>2026-09-02</w:t>
            </w:r>
          </w:p>
        </w:tc>
      </w:tr>
      <w:tr>
        <w:tc>
          <w:tcPr>
            <w:tcW w:type="dxa" w:w="2700"/>
            <w:tcMar>
              <w:top w:w="80" w:type="dxa"/>
              <w:bottom w:w="80" w:type="dxa"/>
              <w:start w:w="120" w:type="dxa"/>
              <w:end w:w="120" w:type="dxa"/>
            </w:tcMar>
            <w:vAlign w:val="center"/>
            <w:shd w:fill="EFEBFB"/>
          </w:tcPr>
          <w:p>
            <w:r>
              <w:rPr>
                <w:rFonts w:ascii="Arial" w:hAnsi="Arial"/>
                <w:b/>
                <w:color w:val="15184D"/>
              </w:rPr>
              <w:t>Audience</w:t>
            </w:r>
          </w:p>
        </w:tc>
        <w:tc>
          <w:tcPr>
            <w:tcW w:type="dxa" w:w="6660"/>
            <w:tcMar>
              <w:top w:w="80" w:type="dxa"/>
              <w:bottom w:w="80" w:type="dxa"/>
              <w:start w:w="120" w:type="dxa"/>
              <w:end w:w="120" w:type="dxa"/>
            </w:tcMar>
            <w:vAlign w:val="center"/>
          </w:tcPr>
          <w:p>
            <w:r>
              <w:rPr>
                <w:rFonts w:ascii="Arial" w:hAnsi="Arial"/>
              </w:rPr>
              <w:t>Customers, partners, executives, architects, delivery teams, and assurance reviewers</w:t>
            </w:r>
          </w:p>
        </w:tc>
      </w:tr>
    </w:tbl>
    <w:p>
      <w:pPr>
        <w:pStyle w:val="Heading1"/>
      </w:pPr>
      <w:r>
        <w:t>Executive summary</w:t>
      </w:r>
    </w:p>
    <w:p>
      <w:r>
        <w:t>MS #55 - CloudBank Customer PostgreSQL Mapping converts a specific part of the LIGHTYEAR modernization approach into a governed, reviewable capability. Turns the first CloudBank service slice into a governed PostgreSQL 16 mapping with explicit semantic decisions, native checks, and application gaps.</w:t>
      </w:r>
    </w:p>
    <w:p>
      <w:pPr>
        <w:pStyle w:val="Heading1"/>
      </w:pPr>
      <w:r>
        <w:t>Why this matters to a customer</w:t>
      </w:r>
    </w:p>
    <w:p>
      <w:r>
        <w:t>Turns the first CloudBank service slice into a governed PostgreSQL 16 mapping with explicit semantic decisions, native checks, and application gaps.</w:t>
      </w:r>
    </w:p>
    <w:p>
      <w:r>
        <w:t>The practical result is a narrower, evidence-backed decision instead of a broad modernization claim. Commercial, architecture, delivery, security, and assurance teams can review the same capability, proof, and limits.</w:t>
      </w:r>
    </w:p>
    <w:p>
      <w:pPr>
        <w:pStyle w:val="Heading1"/>
      </w:pPr>
      <w:r>
        <w:t>What the milestone delivers</w:t>
      </w:r>
    </w:p>
    <w:p>
      <w:pPr>
        <w:pStyle w:val="ListBullet"/>
      </w:pPr>
      <w:r>
        <w:t>A source contract binding the pinned customer DDL, bootstrap data, JPA code, Oracle configuration, and Maven module.</w:t>
      </w:r>
    </w:p>
    <w:p>
      <w:pPr>
        <w:pStyle w:val="ListBullet"/>
      </w:pPr>
      <w:r>
        <w:t>A seven-column, primary-key mapping from CUSTOMER.CUSTOMERS to cloudbank_customer.customers on PostgreSQL 16.</w:t>
      </w:r>
    </w:p>
    <w:p>
      <w:pPr>
        <w:pStyle w:val="ListBullet"/>
      </w:pPr>
      <w:r>
        <w:t>Explicit handling of Oracle empty strings, identifier folding, DATE/SYSDATE precision, UTC policy, and C-collation fragment searches.</w:t>
      </w:r>
    </w:p>
    <w:p>
      <w:pPr>
        <w:pStyle w:val="ListBullet"/>
      </w:pPr>
      <w:r>
        <w:t>A compatibility ledger exposing the ROLE/JPA mismatch, Oracle UCP/wallet refactor, API authorization boundary, and production policies.</w:t>
      </w:r>
    </w:p>
    <w:p>
      <w:pPr>
        <w:pStyle w:val="ListBullet"/>
      </w:pPr>
      <w:r>
        <w:t>Synthetic four-row fixtures containing neither upstream demonstration passwords nor production data.</w:t>
      </w:r>
    </w:p>
    <w:p>
      <w:pPr>
        <w:pStyle w:val="ListBullet"/>
      </w:pPr>
      <w:r>
        <w:t>A hardened postgres:16-alpine runner checking the catalog, defaults, normalization, searches, CRUD, commit, and rollback.</w:t>
      </w:r>
    </w:p>
    <w:p>
      <w:pPr>
        <w:pStyle w:val="ListBullet"/>
      </w:pPr>
      <w:r>
        <w:t>A native receipt contract requiring an admitted signed MS #54 Oracle receipt and binding both database image identities.</w:t>
      </w:r>
    </w:p>
    <w:p>
      <w:pPr>
        <w:pStyle w:val="ListBullet"/>
      </w:pPr>
      <w:r>
        <w:t>Control Tower status, cross-platform launchers, JSON Schemas, CI checks, deterministic artifacts, and tamper/overclaim tests.</w:t>
      </w:r>
    </w:p>
    <w:p>
      <w:pPr>
        <w:pStyle w:val="Heading1"/>
      </w:pPr>
      <w:r>
        <w:t>How it differs from earlier work</w:t>
      </w:r>
    </w:p>
    <w:p>
      <w:r>
        <w:t>MS #53 mapped the CloudBank estate and MS #54 established its executable Oracle baseline. MS #55 maps the customer workcell to PostgreSQL; Spring refactoring and dual-run equivalence remain MS #56 work.</w:t>
      </w:r>
    </w:p>
    <w:p>
      <w:r>
        <w:t>Earlier evidence is not automatically promoted into this milestone. A parser, simulator, local comparison, or generated artifact is not live platform equivalence or production readiness.</w:t>
      </w:r>
    </w:p>
    <w:p>
      <w:pPr>
        <w:pStyle w:val="Heading1"/>
      </w:pPr>
      <w:r>
        <w:t>What a customer can do with it</w:t>
      </w:r>
    </w:p>
    <w:p>
      <w:r>
        <w:t>A customer can use cloudbank customer postgresql mapping as a bounded decision and delivery capability, attached to approved sources, owners, policies, target architecture, acceptance criteria, and authorized evidence.</w:t>
      </w:r>
    </w:p>
    <w:p>
      <w:r>
        <w:t>Unresolved semantic loss, policy decisions, unsupported behavior, and live-evidence requirements remain visible.</w:t>
      </w:r>
    </w:p>
    <w:p>
      <w:pPr>
        <w:pStyle w:val="Heading1"/>
      </w:pPr>
      <w:r>
        <w:t>Evidence and acceptance posture</w:t>
      </w:r>
    </w:p>
    <w:p>
      <w:r>
        <w:t>The repository capability is complete because its committed implementation and release record are present. Customer qualification remains claim-specific and evidence-class-specific.</w:t>
      </w:r>
    </w:p>
    <w:p>
      <w:r>
        <w:t>Review exact source and artifact identities, distinguish development from authorized live evidence, inspect policy and loss classifications, confirm passed and blocked gates, and verify that later changes have not invalidated the evidence.</w:t>
      </w:r>
    </w:p>
    <w:p>
      <w:pPr>
        <w:pStyle w:val="Heading1"/>
      </w:pPr>
      <w:r>
        <w:t>Boundaries and claims not made</w:t>
      </w:r>
    </w:p>
    <w:p>
      <w:pPr>
        <w:pStyle w:val="ListBullet"/>
      </w:pPr>
      <w:r>
        <w:t>The committed readiness receipt says mapping-generated-native-execution-pending; it is not a native PostgreSQL run.</w:t>
      </w:r>
    </w:p>
    <w:p>
      <w:pPr>
        <w:pStyle w:val="ListBullet"/>
      </w:pPr>
      <w:r>
        <w:t>Native execution requires the operator-held Oracle receipt and its verification key.</w:t>
      </w:r>
    </w:p>
    <w:p>
      <w:pPr>
        <w:pStyle w:val="ListBullet"/>
      </w:pPr>
      <w:r>
        <w:t>Only bounded customer-table behavior is mapped; other CloudBank workloads are not.</w:t>
      </w:r>
    </w:p>
    <w:p>
      <w:pPr>
        <w:pStyle w:val="ListBullet"/>
      </w:pPr>
      <w:r>
        <w:t>The Spring/JPA application is neither refactored nor run against PostgreSQL here.</w:t>
      </w:r>
    </w:p>
    <w:p>
      <w:pPr>
        <w:pStyle w:val="ListBullet"/>
      </w:pPr>
      <w:r>
        <w:t>HTTP/API, authorization, concurrency, CDC, cutover, and cross-system rollback remain outside this database proof.</w:t>
      </w:r>
    </w:p>
    <w:p>
      <w:pPr>
        <w:pStyle w:val="ListBullet"/>
      </w:pPr>
      <w:r>
        <w:t>CloudBank-wide equivalence, migration completion, production-data equivalence, and production readiness remain false.</w:t>
      </w:r>
    </w:p>
    <w:p>
      <w:pPr>
        <w:pStyle w:val="Heading1"/>
      </w:pPr>
      <w:r>
        <w:t>Source of record</w:t>
      </w:r>
    </w:p>
    <w:p>
      <w:pPr>
        <w:pStyle w:val="ListBullet"/>
      </w:pPr>
      <w:r>
        <w:t>CHANGELOG.md release section(s): 0.55.0</w:t>
      </w:r>
    </w:p>
    <w:p>
      <w:pPr>
        <w:pStyle w:val="ListBullet"/>
      </w:pPr>
      <w:r>
        <w:t>README.md product and operating guidance</w:t>
      </w:r>
    </w:p>
    <w:p>
      <w:pPr>
        <w:pStyle w:val="ListBullet"/>
      </w:pPr>
      <w:r>
        <w:t>LIGHTYEAR-ROADMAP.md governing sequence and claim classifications</w:t>
      </w:r>
    </w:p>
    <w:p>
      <w:pPr>
        <w:pStyle w:val="ListBullet"/>
      </w:pPr>
      <w:r>
        <w:t>docs/milestones/catalog.json metadata and docs/milestones/manifest.json artifact integrity</w:t>
      </w:r>
    </w:p>
    <w:sectPr w:rsidR="00FC693F" w:rsidRPr="0006063C" w:rsidSect="00034616">
      <w:headerReference w:type="default" r:id="rId9"/>
      <w:footerReference w:type="default" r:id="rId10"/>
      <w:pgSz w:w="12240" w:h="15840"/>
      <w:pgMar w:top="1267" w:right="1440" w:bottom="1440" w:left="1440" w:header="403"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Look w:firstColumn="1" w:firstRow="1" w:lastColumn="0" w:lastRow="0" w:noHBand="0" w:noVBand="1" w:val="04A0"/>
      <w:tblW w:w="9360" w:type="dxa"/>
      <w:tblInd w:w="0" w:type="dxa"/>
      <w:tblLayout w:type="fixed"/>
    </w:tblPr>
    <w:tblGrid>
      <w:gridCol w:w="6000"/>
      <w:gridCol w:w="3360"/>
    </w:tblGrid>
    <w:tr>
      <w:tc>
        <w:tcPr>
          <w:tcW w:type="dxa" w:w="6000"/>
          <w:tcMar>
            <w:top w:w="80" w:type="dxa"/>
            <w:bottom w:w="80" w:type="dxa"/>
            <w:start w:w="120" w:type="dxa"/>
            <w:end w:w="120" w:type="dxa"/>
          </w:tcMar>
          <w:vAlign w:val="center"/>
        </w:tcPr>
        <w:p>
          <w:pPr>
            <w:spacing w:after="0"/>
            <w:jc w:val="left"/>
          </w:pPr>
          <w:r>
            <w:rPr>
              <w:rFonts w:ascii="Arial" w:hAnsi="Arial"/>
              <w:color w:val="676985"/>
              <w:sz w:val="15"/>
            </w:rPr>
            <w:t>Underlying evidence remains authoritative.</w:t>
          </w:r>
        </w:p>
      </w:tc>
      <w:tc>
        <w:tcPr>
          <w:tcW w:type="dxa" w:w="3360"/>
          <w:tcMar>
            <w:top w:w="80" w:type="dxa"/>
            <w:bottom w:w="80" w:type="dxa"/>
            <w:start w:w="120" w:type="dxa"/>
            <w:end w:w="120" w:type="dxa"/>
          </w:tcMar>
          <w:vAlign w:val="center"/>
        </w:tcPr>
        <w:p>
          <w:pPr>
            <w:spacing w:after="0"/>
            <w:jc w:val="right"/>
          </w:pPr>
          <w:r>
            <w:rPr>
              <w:rFonts w:ascii="Arial" w:hAnsi="Arial"/>
              <w:color w:val="676985"/>
              <w:sz w:val="17"/>
            </w:rPr>
            <w:t xml:space="preserve">MS #55  |  Page </w:t>
          </w:r>
          <w:r>
            <w:fldChar w:fldCharType="begin"/>
            <w:instrText> PAGE </w:instrText>
            <w:fldChar w:fldCharType="separate"/>
            <w:t>1</w:t>
            <w:fldChar w:fldCharType="end"/>
          </w:r>
        </w:p>
      </w:tc>
    </w:tr>
  </w:tbl>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pBdr>
        <w:bottom w:val="single" w:sz="7" w:space="3" w:color="A7702C"/>
      </w:pBdr>
    </w:pPr>
    <w:r>
      <w:drawing>
        <wp:inline xmlns:a="http://schemas.openxmlformats.org/drawingml/2006/main" xmlns:pic="http://schemas.openxmlformats.org/drawingml/2006/picture">
          <wp:extent cx="960120" cy="586313"/>
          <wp:docPr id="1" name="Picture 1"/>
          <wp:cNvGraphicFramePr>
            <a:graphicFrameLocks noChangeAspect="1"/>
          </wp:cNvGraphicFramePr>
          <a:graphic>
            <a:graphicData uri="http://schemas.openxmlformats.org/drawingml/2006/picture">
              <pic:pic>
                <pic:nvPicPr>
                  <pic:cNvPr id="0" name="lightyear-primary.png"/>
                  <pic:cNvPicPr/>
                </pic:nvPicPr>
                <pic:blipFill>
                  <a:blip r:embed="rId1"/>
                  <a:stretch>
                    <a:fillRect/>
                  </a:stretch>
                </pic:blipFill>
                <pic:spPr>
                  <a:xfrm>
                    <a:off x="0" y="0"/>
                    <a:ext cx="960120" cy="586313"/>
                  </a:xfrm>
                  <a:prstGeom prst="rect"/>
                </pic:spPr>
              </pic:pic>
            </a:graphicData>
          </a:graphic>
        </wp:inline>
      </w:drawing>
    </w:r>
    <w:r>
      <w:rPr>
        <w:rFonts w:ascii="Arial" w:hAnsi="Arial"/>
        <w:b/>
        <w:color w:val="676985"/>
        <w:sz w:val="16"/>
      </w:rPr>
      <w:t xml:space="preserve">   MILESTONE DOCUMENTATION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rial" w:hAnsi="Arial"/>
      <w:color w:val="15184D"/>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60" w:after="120"/>
      <w:outlineLvl w:val="0"/>
    </w:pPr>
    <w:rPr>
      <w:rFonts w:asciiTheme="majorHAnsi" w:eastAsiaTheme="majorEastAsia" w:hAnsiTheme="majorHAnsi" w:cstheme="majorBidi" w:ascii="Arial" w:hAnsi="Arial"/>
      <w:b/>
      <w:bCs/>
      <w:color w:val="7D57EA"/>
      <w:sz w:val="31"/>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Arial" w:hAnsi="Arial"/>
      <w:b/>
      <w:bCs/>
      <w:color w:val="7D57EA"/>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Arial" w:hAnsi="Arial"/>
      <w:b/>
      <w:bCs/>
      <w:color w:val="15184D"/>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00" w:line="264" w:lineRule="auto"/>
      <w:ind w:left="720" w:hanging="360"/>
      <w:contextualSpacing/>
    </w:pPr>
    <w:rPr>
      <w:rFonts w:ascii="Arial" w:hAnsi="Arial"/>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100" w:line="264" w:lineRule="auto"/>
      <w:ind w:left="720" w:hanging="360"/>
      <w:contextualSpacing/>
    </w:pPr>
    <w:rPr>
      <w:rFonts w:ascii="Arial" w:hAnsi="Arial"/>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MS #55 - CloudBank Customer PostgreSQL Mapping</dc:title>
  <dc:subject>LIGHTYEAR customer milestone documentation</dc:subject>
  <dc:creator>LIGHTYEAR</dc:creator>
  <cp:keywords/>
  <dc:description>generated by python-docx</dc:description>
  <cp:lastModifiedBy/>
  <cp:revision>1</cp:revision>
  <dcterms:created xsi:type="dcterms:W3CDTF">2026-08-31T12:00:00Z</dcterms:created>
  <dcterms:modified xsi:type="dcterms:W3CDTF">2026-08-31T12:00:00Z</dcterms:modified>
  <cp:category/>
</cp:coreProperties>
</file>