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#57 - CloudBank Customer Production-Readiness Qualification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0.57.0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Bounded Customer qualification.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#57 - CloudBank Customer Production-Readiness Qualification converts a specific part of the LIGHTYEAR modernization approach into a governed, reviewable capability. Deepens the proven Customer migration with shared HTTP, security, transaction, packaging, and rollback evidence while keeping whole-CloudBank and production claims explicitly gated.</w:t>
      </w:r>
    </w:p>
    <w:p>
      <w:pPr>
        <w:pStyle w:val="Heading1"/>
      </w:pPr>
      <w:r>
        <w:t>Why this matters to a customer</w:t>
      </w:r>
    </w:p>
    <w:p>
      <w:r>
        <w:t>Deepens the proven Customer migration with shared HTTP, security, transaction, packaging, and rollback evidence while keeping whole-CloudBank and production claims explicitly gated.</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receipt-gated native qualification that recreates isolated Oracle and PostgreSQL workspaces from the exact pinned source and MS #56 transformation.</w:t>
      </w:r>
    </w:p>
    <w:p>
      <w:pPr>
        <w:pStyle w:val="ListBullet"/>
      </w:pPr>
      <w:r>
        <w:t>One shared five-test Spring, MockMvc, and JDBC contract for authentication, owner and administrator authorization, HTTP errors, concurrent read-committed visibility, rollback and commit, maximum lengths, and empty-string normalization.</w:t>
      </w:r>
    </w:p>
    <w:p>
      <w:pPr>
        <w:pStyle w:val="ListBullet"/>
      </w:pPr>
      <w:r>
        <w:t>Removal of inherited Oracle UCP from the PostgreSQL target dependency path while retaining the unchanged Oracle reference lane.</w:t>
      </w:r>
    </w:p>
    <w:p>
      <w:pPr>
        <w:pStyle w:val="ListBullet"/>
      </w:pPr>
      <w:r>
        <w:t>An executable Spring Boot JAR gate requiring one PostgreSQL driver and zero Oracle runtime libraries.</w:t>
      </w:r>
    </w:p>
    <w:p>
      <w:pPr>
        <w:pStyle w:val="ListBullet"/>
      </w:pPr>
      <w:r>
        <w:t>A deterministic 10,000-row synthetic aggregate profile with no persisted rows and no production data.</w:t>
      </w:r>
    </w:p>
    <w:p>
      <w:pPr>
        <w:pStyle w:val="ListBullet"/>
      </w:pPr>
      <w:r>
        <w:t>An offline simulated change journal, checkpoint resume, reconciled cutover barrier, injected failure, and exact rollback rehearsal.</w:t>
      </w:r>
    </w:p>
    <w:p>
      <w:pPr>
        <w:pStyle w:val="ListBullet"/>
      </w:pPr>
      <w:r>
        <w:t>A signed execution receipt bound to the MS #56 receipt, both immutable database images, all qualification contracts, aggregate results, and strict false production claims.</w:t>
      </w:r>
    </w:p>
    <w:p>
      <w:pPr>
        <w:pStyle w:val="ListBullet"/>
      </w:pPr>
      <w:r>
        <w:t>Progress-reporting cross-platform launchers, JSON Schemas, Control Tower status, CI checks, deterministic documentation, and tamper and overclaim tests.</w:t>
      </w:r>
    </w:p>
    <w:p>
      <w:pPr>
        <w:pStyle w:val="Heading1"/>
      </w:pPr>
      <w:r>
        <w:t>How it differs from earlier work</w:t>
      </w:r>
    </w:p>
    <w:p>
      <w:r>
        <w:t>MS #56 proved one bounded Customer Spring contract on Oracle and PostgreSQL. MS #57 chains from that signed result and adds production-shaped qualification for the same workcell without silently extending evidence to other CloudBank services.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customer production-readiness qualification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#57's own evidence scope. Later MS65, MS66 and MS67 receipts add their separate nonproduction qualifications; they do not rewrite this milestone's signed fields.</w:t>
      </w:r>
    </w:p>
    <w:p>
      <w:pPr>
        <w:pStyle w:val="ListBullet"/>
      </w:pPr>
      <w:r>
        <w:t>Execution requires the operator-held signed MS #56 receipt and the same verification key.</w:t>
      </w:r>
    </w:p>
    <w:p>
      <w:pPr>
        <w:pStyle w:val="ListBullet"/>
      </w:pPr>
      <w:r>
        <w:t>The data profile is deterministic synthetic aggregate evidence, not an authorized production extract.</w:t>
      </w:r>
    </w:p>
    <w:p>
      <w:pPr>
        <w:pStyle w:val="ListBullet"/>
      </w:pPr>
      <w:r>
        <w:t>CDC, checkpoint, cutover, and rollback are offline simulations rather than native replication or production operations.</w:t>
      </w:r>
    </w:p>
    <w:p>
      <w:pPr>
        <w:pStyle w:val="ListBullet"/>
      </w:pPr>
      <w:r>
        <w:t>No OCI image is built or scanned, and no production deployment is exercised.</w:t>
      </w:r>
    </w:p>
    <w:p>
      <w:pPr>
        <w:pStyle w:val="ListBullet"/>
      </w:pPr>
      <w:r>
        <w:t>Account, transfer, messaging, MicroTx LRA, and all other CloudBank services remain unqualified.</w:t>
      </w:r>
    </w:p>
    <w:p>
      <w:pPr>
        <w:pStyle w:val="ListBullet"/>
      </w:pPr>
      <w:r>
        <w:t>Whole-CloudBank equivalence, migration completion, production-data equivalence, and production readiness remain false.</w:t>
      </w:r>
    </w:p>
    <w:p>
      <w:pPr>
        <w:pStyle w:val="Heading1"/>
      </w:pPr>
      <w:r>
        <w:t>Source of record</w:t>
      </w:r>
    </w:p>
    <w:p>
      <w:pPr>
        <w:pStyle w:val="ListBullet"/>
      </w:pPr>
      <w:r>
        <w:t>CHANGELOG.md release section(s): 0.57.0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#57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57-production-qualification.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#57 - CloudBank Customer Production-Readiness Qualification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