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#60 - CloudBank Native Account/Transfer Transaction Wave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Native Account and Transfer wave. The original signed receipt is retained in the completed MS67 evidence chain.</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#60 - CloudBank Native Account/Transfer Transaction Wave converts a specific part of the LIGHTYEAR modernization approach into a governed, reviewable capability. Turns the bounded PostgreSQL transaction core into a live two-service money-movement wave with authenticated HTTP, restart recovery, and concurrent conservation evidence.</w:t>
      </w:r>
    </w:p>
    <w:p>
      <w:pPr>
        <w:pStyle w:val="Heading1"/>
      </w:pPr>
      <w:r>
        <w:t>Why this matters to a customer</w:t>
      </w:r>
    </w:p>
    <w:p>
      <w:r>
        <w:t>Turns the bounded PostgreSQL transaction core into a live two-service money-movement wave with authenticated HTTP, restart recovery, and concurrent conservation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An MS #59-chained isolated target that starts native PostgreSQL plus real Account and Transfer executable JARs on loopback-only ephemeral ports.</w:t>
      </w:r>
    </w:p>
    <w:p>
      <w:pPr>
        <w:pStyle w:val="ListBullet"/>
      </w:pPr>
      <w:r>
        <w:t>An explicit cloudbank-wave security profile requiring synthetic Basic authentication at Transfer and an internal token plus actor authorization at Account.</w:t>
      </w:r>
    </w:p>
    <w:p>
      <w:pPr>
        <w:pStyle w:val="ListBullet"/>
      </w:pPr>
      <w:r>
        <w:t>Eleven live scenarios covering health, authentication boundaries, invalid input, ownership, insufficient funds, successful conservation, duplicate replay, service restarts, and concurrency.</w:t>
      </w:r>
    </w:p>
    <w:p>
      <w:pPr>
        <w:pStyle w:val="ListBullet"/>
      </w:pPr>
      <w:r>
        <w:t>Durable idempotency evidence after separate Transfer and Account process restarts without a second debit or journal mutation.</w:t>
      </w:r>
    </w:p>
    <w:p>
      <w:pPr>
        <w:pStyle w:val="ListBullet"/>
      </w:pPr>
      <w:r>
        <w:t>Eight concurrent opposite transfers proving stable lock ordering, exact balances, paired journals, and net-zero value movement.</w:t>
      </w:r>
    </w:p>
    <w:p>
      <w:pPr>
        <w:pStyle w:val="ListBullet"/>
      </w:pPr>
      <w:r>
        <w:t>Executable JAR inspection requiring two applications with zero Oracle and zero MicroTx runtime libraries.</w:t>
      </w:r>
    </w:p>
    <w:p>
      <w:pPr>
        <w:pStyle w:val="ListBullet"/>
      </w:pPr>
      <w:r>
        <w:t>Per-run generated credentials, synthetic data only, loopback network exposure, non-persisted raw logs, and safe aggregate failure evidence.</w:t>
      </w:r>
    </w:p>
    <w:p>
      <w:pPr>
        <w:pStyle w:val="ListBullet"/>
      </w:pPr>
      <w:r>
        <w:t>Deterministic plans, acceptance and compatibility contracts, schemas, cross-platform launchers, CI, Control Tower status, documentation, and adversarial receipt tests.</w:t>
      </w:r>
    </w:p>
    <w:p>
      <w:pPr>
        <w:pStyle w:val="Heading1"/>
      </w:pPr>
      <w:r>
        <w:t>How it differs from earlier work</w:t>
      </w:r>
    </w:p>
    <w:p>
      <w:r>
        <w:t>MS #59 generated and natively qualified the bounded PostgreSQL transaction core while testing Transfer against an isolated facade. MS #60 starts Account and Transfer together and closes only the target-side integrated wave and local LRA-replacement gates.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native account/transfer transaction wave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#60's own evidence scope. Later MS65, MS66 and MS67 receipts add their separate nonproduction qualifications; they do not rewrite this milestone's signed fields.</w:t>
      </w:r>
    </w:p>
    <w:p>
      <w:pPr>
        <w:pStyle w:val="ListBullet"/>
      </w:pPr>
      <w:r>
        <w:t>A passing signed receipt closes only the bounded target-side Account/Transfer native transaction wave and local LRA replacement.</w:t>
      </w:r>
    </w:p>
    <w:p>
      <w:pPr>
        <w:pStyle w:val="ListBullet"/>
      </w:pPr>
      <w:r>
        <w:t>The cloudbank-wave Basic-auth profile is synthetic and development-only; it does not qualify production OAuth/OIDC identity or authorization.</w:t>
      </w:r>
    </w:p>
    <w:p>
      <w:pPr>
        <w:pStyle w:val="ListBullet"/>
      </w:pPr>
      <w:r>
        <w:t>The original Account/Transfer wave is not executed on Oracle, so Oracle-to-PostgreSQL equivalence remains false.</w:t>
      </w:r>
    </w:p>
    <w:p>
      <w:pPr>
        <w:pStyle w:val="ListBullet"/>
      </w:pPr>
      <w:r>
        <w:t>Checks AQ/JMS and the remaining five deployable services are not migrated or qualified.</w:t>
      </w:r>
    </w:p>
    <w:p>
      <w:pPr>
        <w:pStyle w:val="ListBullet"/>
      </w:pPr>
      <w:r>
        <w:t>No production data, native CDC, production deployment, or cutover is accessed or claimed.</w:t>
      </w:r>
    </w:p>
    <w:p>
      <w:pPr>
        <w:pStyle w:val="ListBullet"/>
      </w:pPr>
      <w:r>
        <w:t>Whole-CloudBank equivalence, migration completion, production promotion, and production readiness remain false.</w:t>
      </w:r>
    </w:p>
    <w:p>
      <w:pPr>
        <w:pStyle w:val="Heading1"/>
      </w:pPr>
      <w:r>
        <w:t>Source of record</w:t>
      </w:r>
    </w:p>
    <w:p>
      <w:pPr>
        <w:pStyle w:val="ListBullet"/>
      </w:pPr>
      <w:r>
        <w:t>CHANGELOG.md release section(s): 0.60.0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#60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60-native-wave.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#60 - CloudBank Native Account/Transfer Transaction Wave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