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#61 - CloudBank Bounded Oracle/PostgreSQL Equivalence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0.61.0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Normalized Customer, Account and Transfer equivalence.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#61 - CloudBank Bounded Oracle/PostgreSQL Equivalence converts a specific part of the LIGHTYEAR modernization approach into a governed, reviewable capability. Converts separate Oracle source and PostgreSQL target evidence into one receipt-gated behavioral comparison for the migrated Customer, Account, and Transfer boundary.</w:t>
      </w:r>
    </w:p>
    <w:p>
      <w:pPr>
        <w:pStyle w:val="Heading1"/>
      </w:pPr>
      <w:r>
        <w:t>Why this matters to a customer</w:t>
      </w:r>
    </w:p>
    <w:p>
      <w:r>
        <w:t>Converts separate Oracle source and PostgreSQL target evidence into one receipt-gated behavioral comparison for the migrated Customer, Account, and Transfer boundary.</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signed MS #57 and MS #60 receipt chain requiring the same evidence key and matching immutable PostgreSQL image identity.</w:t>
      </w:r>
    </w:p>
    <w:p>
      <w:pPr>
        <w:pStyle w:val="ListBullet"/>
      </w:pPr>
      <w:r>
        <w:t>One seven-scenario normalized observation contract covering conservation, invalid input, insufficient funds, failure recovery, Transfer validation, identity rejection, and successful orchestration.</w:t>
      </w:r>
    </w:p>
    <w:p>
      <w:pPr>
        <w:pStyle w:val="ListBullet"/>
      </w:pPr>
      <w:r>
        <w:t>An isolated pinned-source lane executing original Account state transitions against native Oracle and original Transfer orchestration against controlled HTTP collaborators.</w:t>
      </w:r>
    </w:p>
    <w:p>
      <w:pPr>
        <w:pStyle w:val="ListBullet"/>
      </w:pPr>
      <w:r>
        <w:t>An isolated generated-target lane requalifying Account against native PostgreSQL and executing the generated Transfer facade contract.</w:t>
      </w:r>
    </w:p>
    <w:p>
      <w:pPr>
        <w:pStyle w:val="ListBullet"/>
      </w:pPr>
      <w:r>
        <w:t>An exact comparison of content-addressed observation markers across both lanes with seven passing tests and two test reports required per lane.</w:t>
      </w:r>
    </w:p>
    <w:p>
      <w:pPr>
        <w:pStyle w:val="ListBullet"/>
      </w:pPr>
      <w:r>
        <w:t>A compatibility ledger that records LRA compensation versus local atomic rollback, the source failure journal, and target idempotency as explicit differences.</w:t>
      </w:r>
    </w:p>
    <w:p>
      <w:pPr>
        <w:pStyle w:val="ListBullet"/>
      </w:pPr>
      <w:r>
        <w:t>Sequential database execution, generated credentials, loopback-only ports, synthetic data, non-persisted raw output, and safe aggregate diagnostics.</w:t>
      </w:r>
    </w:p>
    <w:p>
      <w:pPr>
        <w:pStyle w:val="ListBullet"/>
      </w:pPr>
      <w:r>
        <w:t>Deterministic contracts, readiness and execution schemas, cross-platform launchers, CI compilation, Control Tower projection, documentation, and adversarial tamper and overclaim tests.</w:t>
      </w:r>
    </w:p>
    <w:p>
      <w:pPr>
        <w:pStyle w:val="Heading1"/>
      </w:pPr>
      <w:r>
        <w:t>How it differs from earlier work</w:t>
      </w:r>
    </w:p>
    <w:p>
      <w:r>
        <w:t>MS #57 proved the Customer service in native Oracle and PostgreSQL lanes, while MS #60 proved the connected Account/Transfer target on PostgreSQL. MS #61 binds both signed results and adds a shared native comparison without presenting different transaction implementations as identical.</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bounded oracle/postgresql equivalence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#61's own evidence scope. Later MS65, MS66 and MS67 receipts add their separate nonproduction qualifications; they do not rewrite this milestone's signed fields.</w:t>
      </w:r>
    </w:p>
    <w:p>
      <w:pPr>
        <w:pStyle w:val="ListBullet"/>
      </w:pPr>
      <w:r>
        <w:t>A passing receipt establishes bounded normalized Customer, Account, and Transfer equivalence, not identical internal implementation.</w:t>
      </w:r>
    </w:p>
    <w:p>
      <w:pPr>
        <w:pStyle w:val="ListBullet"/>
      </w:pPr>
      <w:r>
        <w:t>The original integrated Account/Transfer HTTP wave is not started with a real Oracle MicroTx coordinator; original Transfer orchestration is exercised against controlled collaborators.</w:t>
      </w:r>
    </w:p>
    <w:p>
      <w:pPr>
        <w:pStyle w:val="ListBullet"/>
      </w:pPr>
      <w:r>
        <w:t>Oracle LRA compensation and PostgreSQL local atomic rollback remain intentionally different, and the Oracle zero-amount failure journal remains visible in the ledger.</w:t>
      </w:r>
    </w:p>
    <w:p>
      <w:pPr>
        <w:pStyle w:val="ListBullet"/>
      </w:pPr>
      <w:r>
        <w:t>Production OAuth/OIDC and customer identity infrastructure are not qualified.</w:t>
      </w:r>
    </w:p>
    <w:p>
      <w:pPr>
        <w:pStyle w:val="ListBullet"/>
      </w:pPr>
      <w:r>
        <w:t>Checks AQ/JMS and the remaining five service workcells are not migrated or qualified.</w:t>
      </w:r>
    </w:p>
    <w:p>
      <w:pPr>
        <w:pStyle w:val="ListBullet"/>
      </w:pPr>
      <w:r>
        <w:t>No production data, whole-application equivalence, migration completion, production promotion, or production readiness is claimed.</w:t>
      </w:r>
    </w:p>
    <w:p>
      <w:pPr>
        <w:pStyle w:val="Heading1"/>
      </w:pPr>
      <w:r>
        <w:t>Source of record</w:t>
      </w:r>
    </w:p>
    <w:p>
      <w:pPr>
        <w:pStyle w:val="ListBullet"/>
      </w:pPr>
      <w:r>
        <w:t>CHANGELOG.md release section(s): 0.61.0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#61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61-equivalence.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#61 - CloudBank Bounded Oracle/PostgreSQL Equivalence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