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#62 - CloudBank Production OAuth Application Boundary</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 - execution passed</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0.62.0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2026-09-02</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Published execution result</w:t>
      </w:r>
    </w:p>
    <w:p>
      <w:r>
        <w:t>Published 2026-09-11: OAuth application boundary. The original signed receipt is retained in the completed MS67 evidence chain.</w:t>
      </w:r>
    </w:p>
    <w:p>
      <w:hyperlink r:id="rId11">
        <w:r>
          <w:rPr>
            <w:color w:val="6942D6"/>
          </w:rPr>
          <w:t>Original signed receipt 1</w:t>
        </w:r>
      </w:hyperlink>
    </w:p>
    <w:p>
      <w:hyperlink r:id="rId12">
        <w:r>
          <w:rPr>
            <w:color w:val="6942D6"/>
          </w:rPr>
          <w:t>Full MS54–67 execution evidence index</w:t>
        </w:r>
      </w:hyperlink>
    </w:p>
    <w:p>
      <w:pPr>
        <w:pStyle w:val="Heading1"/>
      </w:pPr>
      <w:r>
        <w:t>Executive summary</w:t>
      </w:r>
    </w:p>
    <w:p>
      <w:r>
        <w:t>MS #62 - CloudBank Production OAuth Application Boundary converts a specific part of the LIGHTYEAR modernization approach into a governed, reviewable capability. Replaces the migrated transaction workcell's development authentication shortcuts with a live, restart-safe OAuth 2.0/OIDC boundary that separates customer and service identity.</w:t>
      </w:r>
    </w:p>
    <w:p>
      <w:pPr>
        <w:pStyle w:val="Heading1"/>
      </w:pPr>
      <w:r>
        <w:t>Why this matters to a customer</w:t>
      </w:r>
    </w:p>
    <w:p>
      <w:r>
        <w:t>Replaces the migrated transaction workcell's development authentication shortcuts with a live, restart-safe OAuth 2.0/OIDC boundary that separates customer and service identity.</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signed MS #61 receipt chain and isolated Authorization, Account, and Transfer target materialized from the exact pinned CloudBank source and generated PostgreSQL transaction target.</w:t>
      </w:r>
    </w:p>
    <w:p>
      <w:pPr>
        <w:pStyle w:val="ListBullet"/>
      </w:pPr>
      <w:r>
        <w:t>A PostgreSQL user-repository mapping for the CloudBank authorization server with its original OAuth2/OIDC protocol surface retained.</w:t>
      </w:r>
    </w:p>
    <w:p>
      <w:pPr>
        <w:pStyle w:val="ListBullet"/>
      </w:pPr>
      <w:r>
        <w:t>RSA-3072 JWT issuance through the real client-credentials endpoint with exact issuer, lifetime, signature, service-specific audience, and scope validation.</w:t>
      </w:r>
    </w:p>
    <w:p>
      <w:pPr>
        <w:pStyle w:val="ListBullet"/>
      </w:pPr>
      <w:r>
        <w:t>Separate caller and service credentials: Transfer accepts cloudbank.transfer for the cloudbank-transfer audience and obtains cloudbank.internal for the cloudbank-account audience.</w:t>
      </w:r>
    </w:p>
    <w:p>
      <w:pPr>
        <w:pStyle w:val="ListBullet"/>
      </w:pPr>
      <w:r>
        <w:t>Twelve native scenarios covering discovery, JWKS, invalid client, scope escalation, claim binding, missing credentials, scope denial, tamper denial, audience isolation, ownership, value conservation, and signing-key restart continuity.</w:t>
      </w:r>
    </w:p>
    <w:p>
      <w:pPr>
        <w:pStyle w:val="ListBullet"/>
      </w:pPr>
      <w:r>
        <w:t>Three executable Spring Boot JARs with zero Oracle and zero MicroTx runtime libraries.</w:t>
      </w:r>
    </w:p>
    <w:p>
      <w:pPr>
        <w:pStyle w:val="ListBullet"/>
      </w:pPr>
      <w:r>
        <w:t>Per-run secrets and signing keys confined to runtime memory or operator-temporary files, loopback-only ports, synthetic data, hashed logs, and safe failure diagnostics.</w:t>
      </w:r>
    </w:p>
    <w:p>
      <w:pPr>
        <w:pStyle w:val="ListBullet"/>
      </w:pPr>
      <w:r>
        <w:t>Deterministic security, execution, acceptance, compatibility, readiness, and receipt contracts; cross-platform launchers; CI compilation; Control Tower projection; documentation; and adversarial tests.</w:t>
      </w:r>
    </w:p>
    <w:p>
      <w:pPr>
        <w:pStyle w:val="Heading1"/>
      </w:pPr>
      <w:r>
        <w:t>How it differs from earlier work</w:t>
      </w:r>
    </w:p>
    <w:p>
      <w:r>
        <w:t>MS #61 established bounded Oracle/PostgreSQL behavior for Customer, Account, and Transfer. MS #62 chains that signed result into the first production-shaped identity workcell while leaving deployment security and unrelated services explicitly gated.</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cloudbank production oauth application boundary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These boundaries describe MS #62's own evidence scope. Later MS65, MS66 and MS67 receipts add their separate nonproduction qualifications; they do not rewrite this milestone's signed fields.</w:t>
      </w:r>
    </w:p>
    <w:p>
      <w:pPr>
        <w:pStyle w:val="ListBullet"/>
      </w:pPr>
      <w:r>
        <w:t>A passing receipt qualifies the production OAuth application profile for the bounded Authorization, Account, and Transfer workcell, not an operational production deployment.</w:t>
      </w:r>
    </w:p>
    <w:p>
      <w:pPr>
        <w:pStyle w:val="ListBullet"/>
      </w:pPr>
      <w:r>
        <w:t>The native qualification uses loopback HTTP; approved external TLS termination remains required.</w:t>
      </w:r>
    </w:p>
    <w:p>
      <w:pPr>
        <w:pStyle w:val="ListBullet"/>
      </w:pPr>
      <w:r>
        <w:t>Managed-secret storage, automated signing-key and client-secret rotation, and revocation operations are not exercised.</w:t>
      </w:r>
    </w:p>
    <w:p>
      <w:pPr>
        <w:pStyle w:val="ListBullet"/>
      </w:pPr>
      <w:r>
        <w:t>The browser authorization-code flow is configured with PKCE but is not executed by this machine-to-machine gate.</w:t>
      </w:r>
    </w:p>
    <w:p>
      <w:pPr>
        <w:pStyle w:val="ListBullet"/>
      </w:pPr>
      <w:r>
        <w:t>Enterprise identity-provider federation remains a customer architecture and policy decision.</w:t>
      </w:r>
    </w:p>
    <w:p>
      <w:pPr>
        <w:pStyle w:val="ListBullet"/>
      </w:pPr>
      <w:r>
        <w:t>Checks AQ/JMS and the remaining services are not migrated or qualified.</w:t>
      </w:r>
    </w:p>
    <w:p>
      <w:pPr>
        <w:pStyle w:val="ListBullet"/>
      </w:pPr>
      <w:r>
        <w:t>No production data, whole-application equivalence, migration completion, promotion, or production readiness is claimed.</w:t>
      </w:r>
    </w:p>
    <w:p>
      <w:pPr>
        <w:pStyle w:val="Heading1"/>
      </w:pPr>
      <w:r>
        <w:t>Source of record</w:t>
      </w:r>
    </w:p>
    <w:p>
      <w:pPr>
        <w:pStyle w:val="ListBullet"/>
      </w:pPr>
      <w:r>
        <w:t>CHANGELOG.md release section(s): 0.62.0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#62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receipts/ms67-final-635689566db6425aadf6fb1fc6cf3de7/receipts/prerequisite-ms62-oauth.receipt.json" TargetMode="External"/><Relationship Id="rId12" Type="http://schemas.openxmlformats.org/officeDocument/2006/relationships/hyperlink" Target="https://howardweale.github.io/lightyear-carddemo-modernization/receip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#62 - CloudBank Production OAuth Application Boundary</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