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#64 - CloudBank Credit Decision and AI Boundary</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0.64.0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2026-09-03</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Eight-service target and edge controls.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#64 - CloudBank Credit Decision and AI Boundary converts a specific part of the LIGHTYEAR modernization approach into a governed, reviewable capability. Completes the remaining CloudBank application workcells while making synthetic credit evidence and model-interaction controls explicit, testable, and resistant to overclaiming.</w:t>
      </w:r>
    </w:p>
    <w:p>
      <w:pPr>
        <w:pStyle w:val="Heading1"/>
      </w:pPr>
      <w:r>
        <w:t>Why this matters to a customer</w:t>
      </w:r>
    </w:p>
    <w:p>
      <w:r>
        <w:t>Completes the remaining CloudBank application workcells while making synthetic credit evidence and model-interaction controls explicit, testable, and resistant to overclaiming.</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signed MS #63 and MS #57 receipt chain requiring the same evidence key and PostgreSQL image.</w:t>
      </w:r>
    </w:p>
    <w:p>
      <w:pPr>
        <w:pStyle w:val="ListBullet"/>
      </w:pPr>
      <w:r>
        <w:t>A fresh eight-service target with azn-server, checks, testrunner, creditscore, and chatbot explicitly marked migrated and each generated and executed in a dedicated Java workcell.</w:t>
      </w:r>
    </w:p>
    <w:p>
      <w:pPr>
        <w:pStyle w:val="ListBullet"/>
      </w:pPr>
      <w:r>
        <w:t>An OAuth-protected Credit Score boundary with a distinct audience and a stable subject-and-UTC-date-bound HMAC result labelled synthetic-v1.</w:t>
      </w:r>
    </w:p>
    <w:p>
      <w:pPr>
        <w:pStyle w:val="ListBullet"/>
      </w:pPr>
      <w:r>
        <w:t>A runtime-only minimum-length score pepper, no score persistence, and explicit rejection of real credit-bureau or regulated-model claims.</w:t>
      </w:r>
    </w:p>
    <w:p>
      <w:pPr>
        <w:pStyle w:val="ListBullet"/>
      </w:pPr>
      <w:r>
        <w:t>A distinct-audience Chatbot boundary with system/user prompt separation, input and output limits, instruction-override rejection, and safe model failures.</w:t>
      </w:r>
    </w:p>
    <w:p>
      <w:pPr>
        <w:pStyle w:val="ListBullet"/>
      </w:pPr>
      <w:r>
        <w:t>Per-authenticated-subject rate limiting and a host/TLS model-egress allowlist that permits plaintext only for allowlisted loopback endpoints.</w:t>
      </w:r>
    </w:p>
    <w:p>
      <w:pPr>
        <w:pStyle w:val="ListBullet"/>
      </w:pPr>
      <w:r>
        <w:t>Eight executable Spring Boot JARs with zero Oracle and zero MicroTx runtime libraries.</w:t>
      </w:r>
    </w:p>
    <w:p>
      <w:pPr>
        <w:pStyle w:val="ListBullet"/>
      </w:pPr>
      <w:r>
        <w:t>Twenty-eight bounded scenarios, twenty-one generated Java tests, safe aggregate diagnostics, deterministic contracts, schemas, cross-platform launchers, CI compilation and tests, Control Tower projection, documentation, and adversarial tests.</w:t>
      </w:r>
    </w:p>
    <w:p>
      <w:pPr>
        <w:pStyle w:val="Heading1"/>
      </w:pPr>
      <w:r>
        <w:t>How it differs from earlier work</w:t>
      </w:r>
    </w:p>
    <w:p>
      <w:r>
        <w:t>MS #57 qualified the PostgreSQL Customer workcell and MS #63 assembled Authorization, Account, Transfer, Checks, and Test Runner. MS #64 composes all prior targets, explicitly resolves the five remaining services as migrated, and generates and executes each of their target workcells in one eight-service target.</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credit decision and ai boundary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#64's own evidence scope. Later MS65, MS66 and MS67 receipts add their separate nonproduction qualifications; they do not rewrite this milestone's signed fields.</w:t>
      </w:r>
    </w:p>
    <w:p>
      <w:pPr>
        <w:pStyle w:val="ListBullet"/>
      </w:pPr>
      <w:r>
        <w:t>Acceptance calls neither a credit bureau nor an external model and persists no prompts, responses, tokens, secrets, peppers, or upstream error details.</w:t>
      </w:r>
    </w:p>
    <w:p>
      <w:pPr>
        <w:pStyle w:val="ListBullet"/>
      </w:pPr>
      <w:r>
        <w:t>A passing receipt qualifies generation and execution of all five remaining target workcells plus the bounded Credit Score and Chatbot application-control envelope and eight-service package, not a real credit decision or model-answer quality.</w:t>
      </w:r>
    </w:p>
    <w:p>
      <w:pPr>
        <w:pStyle w:val="ListBullet"/>
      </w:pPr>
      <w:r>
        <w:t>Native Oracle AQ comparison, production data, whole-application Oracle/PostgreSQL equivalence, migration completion, production deployment, promotion, and production readiness remain false.</w:t>
      </w:r>
    </w:p>
    <w:p>
      <w:pPr>
        <w:pStyle w:val="Heading1"/>
      </w:pPr>
      <w:r>
        <w:t>Source of record</w:t>
      </w:r>
    </w:p>
    <w:p>
      <w:pPr>
        <w:pStyle w:val="ListBullet"/>
      </w:pPr>
      <w:r>
        <w:t>CHANGELOG.md release section(s): 0.64.0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#64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64-edge-ai.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#64 - CloudBank Credit Decision and AI Boundary</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