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#66 - CloudBank Whole-Application Dual-Lane Equivalence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 execution passed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0.66.0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2026-09-03</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Published execution result</w:t>
      </w:r>
    </w:p>
    <w:p>
      <w:r>
        <w:t>Published 2026-09-11: Bounded eight-service Oracle/PostgreSQL equivalence. The original signed receipt is retained in the completed MS67 evidence chain. All eight services were observed in both lanes across 18 declared business scenarios.</w:t>
      </w:r>
    </w:p>
    <w:p>
      <w:hyperlink r:id="rId11">
        <w:r>
          <w:rPr>
            <w:color w:val="6942D6"/>
          </w:rPr>
          <w:t>Original signed receipt 1</w:t>
        </w:r>
      </w:hyperlink>
    </w:p>
    <w:p>
      <w:hyperlink r:id="rId12">
        <w:r>
          <w:rPr>
            <w:color w:val="6942D6"/>
          </w:rPr>
          <w:t>Full MS54–67 execution evidence index</w:t>
        </w:r>
      </w:hyperlink>
    </w:p>
    <w:p>
      <w:pPr>
        <w:pStyle w:val="Heading1"/>
      </w:pPr>
      <w:r>
        <w:t>Executive summary</w:t>
      </w:r>
    </w:p>
    <w:p>
      <w:r>
        <w:t>MS #66 - CloudBank Whole-Application Dual-Lane Equivalence converts a specific part of the LIGHTYEAR modernization approach into a governed, reviewable capability. Shows that the complete eight-service business system produces the same bounded outcomes before and after its Oracle-to-PostgreSQL modernization, including failure and recovery behavior.</w:t>
      </w:r>
    </w:p>
    <w:p>
      <w:pPr>
        <w:pStyle w:val="Heading1"/>
      </w:pPr>
      <w:r>
        <w:t>Why this matters to a customer</w:t>
      </w:r>
    </w:p>
    <w:p>
      <w:r>
        <w:t>Shows that the complete eight-service business system produces the same bounded outcomes before and after its Oracle-to-PostgreSQL modernization, including failure and recovery behavior.</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signed MS #61/MS #64 chain with the same evidence key and PostgreSQL image identity.</w:t>
      </w:r>
    </w:p>
    <w:p>
      <w:pPr>
        <w:pStyle w:val="ListBullet"/>
      </w:pPr>
      <w:r>
        <w:t>Isolated Oracle/source and PostgreSQL/target lanes covering all eight deployables.</w:t>
      </w:r>
    </w:p>
    <w:p>
      <w:pPr>
        <w:pStyle w:val="ListBullet"/>
      </w:pPr>
      <w:r>
        <w:t>Per-service executable identity, readiness, full-stack restart, and extra Account, Transfer, and Checks restart evidence in each lane.</w:t>
      </w:r>
    </w:p>
    <w:p>
      <w:pPr>
        <w:pStyle w:val="ListBullet"/>
      </w:pPr>
      <w:r>
        <w:t>One exact 18-scenario contract covering business reads, identity, transfers, Checks, Credit Score, Chatbot, failures, concurrency, restarts, and recovery.</w:t>
      </w:r>
    </w:p>
    <w:p>
      <w:pPr>
        <w:pStyle w:val="ListBullet"/>
      </w:pPr>
      <w:r>
        <w:t>Separately signed lane observations bound to one run, both receipts and images, and exact contracts; only matching normalized results pass.</w:t>
      </w:r>
    </w:p>
    <w:p>
      <w:pPr>
        <w:pStyle w:val="ListBullet"/>
      </w:pPr>
      <w:r>
        <w:t>A compatibility ledger, three schemas, cross-platform launchers, CI, Control Tower projection, documentation, safe diagnostics, and adversarial tests.</w:t>
      </w:r>
    </w:p>
    <w:p>
      <w:pPr>
        <w:pStyle w:val="Heading1"/>
      </w:pPr>
      <w:r>
        <w:t>How it differs from earlier work</w:t>
      </w:r>
    </w:p>
    <w:p>
      <w:r>
        <w:t>MS #61 proved the native Oracle/PostgreSQL core and MS #64 completed all eight target workcells. MS #66 joins those evidence chains and requires complete source and target runtime observations before bounded whole-application equivalence can pass.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cloudbank whole-application dual-lane equivalence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These boundaries describe MS #66's own evidence scope. Later MS65, MS66 and MS67 receipts add their separate nonproduction qualifications; they do not rewrite this milestone's signed fields.</w:t>
      </w:r>
    </w:p>
    <w:p>
      <w:pPr>
        <w:pStyle w:val="ListBullet"/>
      </w:pPr>
      <w:r>
        <w:t>A passing execution receipt proves only the 18 declared synthetic business scenarios, not identical internals.</w:t>
      </w:r>
    </w:p>
    <w:p>
      <w:pPr>
        <w:pStyle w:val="ListBullet"/>
      </w:pPr>
      <w:r>
        <w:t>Credit Score is compared by range and Chatbot at its bounded service boundary, not by real decision or model-answer quality.</w:t>
      </w:r>
    </w:p>
    <w:p>
      <w:pPr>
        <w:pStyle w:val="ListBullet"/>
      </w:pPr>
      <w:r>
        <w:t>Production data, native CDC, customer infrastructure and IdP, migration completion, deployment, and production readiness remain for MS #67-#68.</w:t>
      </w:r>
    </w:p>
    <w:p>
      <w:pPr>
        <w:pStyle w:val="Heading1"/>
      </w:pPr>
      <w:r>
        <w:t>Source of record</w:t>
      </w:r>
    </w:p>
    <w:p>
      <w:pPr>
        <w:pStyle w:val="ListBullet"/>
      </w:pPr>
      <w:r>
        <w:t>CHANGELOG.md release section(s): 0.66.0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#66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receipts/ms67-final-635689566db6425aadf6fb1fc6cf3de7/receipts/retained-ms66-receipt.json" TargetMode="External"/><Relationship Id="rId12" Type="http://schemas.openxmlformats.org/officeDocument/2006/relationships/hyperlink" Target="https://howardweale.github.io/lightyear-carddemo-modernization/receip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#66 - CloudBank Whole-Application Dual-Lane Equivalence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