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#52 - Oracle Customer (Large) Control Tower Projection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0.52.0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#52 - Oracle Customer (Large) Control Tower Projection converts a specific part of the LIGHTYEAR modernization approach into a governed, reviewable capability. Lets operators explore a large Oracle reference estate through business-facing order-to-cash and procure-to-pay workloads without presenting public reference evidence as an attached customer system.</w:t>
      </w:r>
    </w:p>
    <w:p>
      <w:pPr>
        <w:pStyle w:val="Heading1"/>
      </w:pPr>
      <w:r>
        <w:t>Why this matters to a customer</w:t>
      </w:r>
    </w:p>
    <w:p>
      <w:r>
        <w:t>Lets operators explore a large Oracle reference estate through business-facing order-to-cash and procure-to-pay workloads without presenting public reference evidence as an attached customer system.</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selectable Oracle Customer (Large) company context in the read-only Control Tower.</w:t>
      </w:r>
    </w:p>
    <w:p>
      <w:pPr>
        <w:pStyle w:val="ListBullet"/>
      </w:pPr>
      <w:r>
        <w:t>Order-to-cash and procure-to-pay business problems and workloads bound to the two curated nine-table reference slices.</w:t>
      </w:r>
    </w:p>
    <w:p>
      <w:pPr>
        <w:pStyle w:val="ListBullet"/>
      </w:pPr>
      <w:r>
        <w:t>Twenty static document-flow trace scenarios covering order, shipment or receipt, invoice, payment, and allocation relationships.</w:t>
      </w:r>
    </w:p>
    <w:p>
      <w:pPr>
        <w:pStyle w:val="ListBullet"/>
      </w:pPr>
      <w:r>
        <w:t>A deterministic content-addressed graph fragment and receipt bound to the exact canonical graph, source commit, tree, inventory, selectors, and slice evidence.</w:t>
      </w:r>
    </w:p>
    <w:p>
      <w:pPr>
        <w:pStyle w:val="ListBullet"/>
      </w:pPr>
      <w:r>
        <w:t>Composition with the existing PL/I extension while retaining the canonical CardDemo graph as the runtime and audit identity.</w:t>
      </w:r>
    </w:p>
    <w:p>
      <w:pPr>
        <w:pStyle w:val="ListBullet"/>
      </w:pPr>
      <w:r>
        <w:t>POSIX and Windows build and verification launchers plus adversarial naming, drift, provenance, platform, and overclaim tests.</w:t>
      </w:r>
    </w:p>
    <w:p>
      <w:pPr>
        <w:pStyle w:val="Heading1"/>
      </w:pPr>
      <w:r>
        <w:t>How it differs from earlier work</w:t>
      </w:r>
    </w:p>
    <w:p>
      <w:r>
        <w:t>MS #48 pinned and measured the upstream reference estate, MS #50 broadened Oracle semantic coverage, and MS #51 defined native execution admission. MS #52 now projects the two curated business slices into the Control Tower under the operator-facing name Oracle Customer (Large) while preserving the earlier evidence boundaries.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 customer (large) control tower projection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Oracle Customer (Large) is an operator-facing public reference-estate label; no customer system is attached.</w:t>
      </w:r>
    </w:p>
    <w:p>
      <w:pPr>
        <w:pStyle w:val="ListBullet"/>
      </w:pPr>
      <w:r>
        <w:t>iDempiere remains only as upstream source, commit, tree, license, and internal evidence provenance.</w:t>
      </w:r>
    </w:p>
    <w:p>
      <w:pPr>
        <w:pStyle w:val="ListBullet"/>
      </w:pPr>
      <w:r>
        <w:t>The 20 projected relationships are curated static trace scenarios, not native Oracle execution or observed transactions.</w:t>
      </w:r>
    </w:p>
    <w:p>
      <w:pPr>
        <w:pStyle w:val="ListBullet"/>
      </w:pPr>
      <w:r>
        <w:t>The projection does not change the canonical CardDemo graph or promote its runtime and audit claims.</w:t>
      </w:r>
    </w:p>
    <w:p>
      <w:pPr>
        <w:pStyle w:val="ListBullet"/>
      </w:pPr>
      <w:r>
        <w:t>Native Oracle conformance, application equivalence, CloudBank mapping, migration completion, and production readiness remain false.</w:t>
      </w:r>
    </w:p>
    <w:p>
      <w:pPr>
        <w:pStyle w:val="Heading1"/>
      </w:pPr>
      <w:r>
        <w:t>Source of record</w:t>
      </w:r>
    </w:p>
    <w:p>
      <w:pPr>
        <w:pStyle w:val="ListBullet"/>
      </w:pPr>
      <w:r>
        <w:t>CHANGELOG.md release section(s): 0.52.0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#52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#52 - Oracle Customer (Large) Control Tower Projection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