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#49 - Oracle Dialect Authority Corpus and Executable Fixtures</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0.49.0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#49 - Oracle Dialect Authority Corpus and Executable Fixtures converts a specific part of the LIGHTYEAR modernization approach into a governed, reviewable capability. Replaces Oracle-semantics assumptions with a pinned official source corpus and executable cases while keeping native-database proof visibly separate.</w:t>
      </w:r>
    </w:p>
    <w:p>
      <w:pPr>
        <w:pStyle w:val="Heading1"/>
      </w:pPr>
      <w:r>
        <w:t>Why this matters to a customer</w:t>
      </w:r>
    </w:p>
    <w:p>
      <w:r>
        <w:t>Replaces Oracle-semantics assumptions with a pinned official source corpus and executable cases while keeping native-database proof visibly separate.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An Oracle Database Sample Schemas v23.3 pin at commit e3325a83e56c516815844025418a96ecaf219751 with exact tree and MIT license identities.</w:t>
      </w:r>
    </w:p>
    <w:p>
      <w:pPr>
        <w:pStyle w:val="ListBullet"/>
      </w:pPr>
      <w:r>
        <w:t>An allowlisted nine-file corpus spanning customer_orders, human_resources, and sales_history: four SQL files, 2,000 SQL lines, and 77,919 bytes.</w:t>
      </w:r>
    </w:p>
    <w:p>
      <w:pPr>
        <w:pStyle w:val="ListBullet"/>
      </w:pPr>
      <w:r>
        <w:t>Eight executable fixtures and 24 deterministic cases covering empty-string/null, NUMBER precision and scale, DATE arithmetic, NVL/DECODE coercion, ROWNUM ordering, SELECT FOR UPDATE, SELECT INTO/NO_DATA_FOUND, and LOB boundaries.</w:t>
      </w:r>
    </w:p>
    <w:p>
      <w:pPr>
        <w:pStyle w:val="ListBullet"/>
      </w:pPr>
      <w:r>
        <w:t>A content-addressed model-conformance receipt recording all 24 cases as passed-bounded-model while native execution and equivalence flags remain false.</w:t>
      </w:r>
    </w:p>
    <w:p>
      <w:pPr>
        <w:pStyle w:val="ListBullet"/>
      </w:pPr>
      <w:r>
        <w:t>A fail-fast native Oracle SQL harness with one completion marker for each fixture and no simulated native result.</w:t>
      </w:r>
    </w:p>
    <w:p>
      <w:pPr>
        <w:pStyle w:val="ListBullet"/>
      </w:pPr>
      <w:r>
        <w:t>CLI, POSIX shell, and PowerShell build and verification paths for acquisition, generated artifacts, hashes, schemas, results, and claim boundaries.</w:t>
      </w:r>
    </w:p>
    <w:p>
      <w:pPr>
        <w:pStyle w:val="ListBullet"/>
      </w:pPr>
      <w:r>
        <w:t>JSON schemas plus adversarial tests that reject altered content, rehashed native-execution overclaims, and application-equivalence overclaims.</w:t>
      </w:r>
    </w:p>
    <w:p>
      <w:pPr>
        <w:pStyle w:val="Heading1"/>
      </w:pPr>
      <w:r>
        <w:t>How it differs from earlier work</w:t>
      </w:r>
    </w:p>
    <w:p>
      <w:r>
        <w:t>MS #43 introduced the bounded Oracle adapter and MS #48 selected iDempiere plus the first eight semantic risks. MS #49 acquires the official Oracle dialect authority, executes a deterministic local semantics model, and emits a native Oracle harness without promoting either activity into iDempiere application equivalence.</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oracle dialect authority corpus and executable fixtures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 selected corpus is a deliberately bounded official-source subset, not the complete sample-schema repository or its bulk data.</w:t>
      </w:r>
    </w:p>
    <w:p>
      <w:pPr>
        <w:pStyle w:val="ListBullet"/>
      </w:pPr>
      <w:r>
        <w:t>The deterministic local semantics model does not constitute native Oracle execution or conformance.</w:t>
      </w:r>
    </w:p>
    <w:p>
      <w:pPr>
        <w:pStyle w:val="ListBullet"/>
      </w:pPr>
      <w:r>
        <w:t>The native SQL harness is generated but unexecuted; no authorized database identity, session, transaction, lock, or LOB runtime evidence is claimed.</w:t>
      </w:r>
    </w:p>
    <w:p>
      <w:pPr>
        <w:pStyle w:val="ListBullet"/>
      </w:pPr>
      <w:r>
        <w:t>No iDempiere application behavior or customer transaction is executed or proven equivalent.</w:t>
      </w:r>
    </w:p>
    <w:p>
      <w:pPr>
        <w:pStyle w:val="ListBullet"/>
      </w:pPr>
      <w:r>
        <w:t>No iDempiere-to-CloudBank mapping is complete.</w:t>
      </w:r>
    </w:p>
    <w:p>
      <w:pPr>
        <w:pStyle w:val="ListBullet"/>
      </w:pPr>
      <w:r>
        <w:t>Native Oracle conformance, application equivalence, migration completion, and production readiness remain false.</w:t>
      </w:r>
    </w:p>
    <w:p>
      <w:pPr>
        <w:pStyle w:val="Heading1"/>
      </w:pPr>
      <w:r>
        <w:t>Source of record</w:t>
      </w:r>
    </w:p>
    <w:p>
      <w:pPr>
        <w:pStyle w:val="ListBullet"/>
      </w:pPr>
      <w:r>
        <w:t>CHANGELOG.md release section(s): 0.49.0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#49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#49 - Oracle Dialect Authority Corpus and Executable Fixtures</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