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104 INTCALC release evidence and POSTTRAN comparison preparation</w:t>
      </w:r>
    </w:p>
    <w:p>
      <w:pPr/>
      <w:r>
        <w:rPr>
          <w:b w:val="0"/>
          <w:i w:val="0"/>
        </w:rPr>
        <w:t xml:space="preserve">Recorded October 14 2026. Implementation: </w:t>
      </w:r>
      <w:hyperlink r:id="rId11">
        <w:r>
          <w:rPr>
            <w:color w:val="244D79"/>
          </w:rPr>
          <w:t xml:space="preserve">PR #337</w:t>
        </w:r>
      </w:hyperlink>
      <w:r>
        <w:rPr>
          <w:b w:val="0"/>
          <w:i w:val="0"/>
        </w:rPr>
        <w:t>.</w:t>
      </w:r>
    </w:p>
    <w:p>
      <w:pPr/>
      <w:r>
        <w:rPr>
          <w:b w:val="0"/>
          <w:i w:val="0"/>
        </w:rPr>
        <w:t>This milestone delivers comparison controls and a review packet for INTCALC and POSTTRAN. INTCALC remains not releasable in the retained assessment; POSTTRAN Phase 2 still requires approval of its exact comparison plan.</w:t>
      </w:r>
    </w:p>
    <w:p>
      <w:pPr>
        <w:pStyle w:val="Heading1"/>
      </w:pPr>
      <w:r>
        <w:rPr>
          <w:b w:val="0"/>
          <w:i w:val="0"/>
        </w:rPr>
        <w:t>What changed</w:t>
      </w:r>
    </w:p>
    <w:p>
      <w:pPr/>
      <w:r>
        <w:rPr>
          <w:b w:val="0"/>
          <w:i w:val="0"/>
        </w:rPr>
        <w:t>INTCALC now has separate evidence for duplicate-category inputs that the loader refuses. Receipts bind the control and instrumented baselines to the loader, generator, input bytes and source. Each affected mutant receives its own assessment. A refused input earns no comparison, equivalence, kill or coverage credit, and no mutant disappears from the denominator. Original records remain intact; new assessments are added as overlays.</w:t>
      </w:r>
    </w:p>
    <w:p>
      <w:pPr/>
      <w:r>
        <w:rPr>
          <w:b w:val="0"/>
          <w:i w:val="0"/>
        </w:rPr>
        <w:t>An independent script recomputes the threshold from the receipts and rejects disagreement with the Factory calculation. The decision packet also records the remaining I/O edge, source-bound constants, conditional decisions and the evidence still needed for an effective approval.</w:t>
      </w:r>
    </w:p>
    <w:p>
      <w:pPr/>
      <w:r>
        <w:rPr>
          <w:b w:val="0"/>
          <w:i w:val="0"/>
        </w:rPr>
        <w:t>POSTTRAN preparation freezes the unchanged candidate, compiler image, scenarios, input hashes, compared fields and return-code contract. Execution checks the approved plan and source revision and reserves the single permitted attempt before compilation. Divergent or indeterminate comparisons become unresolved entries for human review. Preparing the plan does not authorize that execution.</w:t>
      </w:r>
    </w:p>
    <w:p>
      <w:pPr>
        <w:pStyle w:val="Heading1"/>
      </w:pPr>
      <w:r>
        <w:rPr>
          <w:b w:val="0"/>
          <w:i w:val="0"/>
        </w:rPr>
        <w:t>Evidence available</w:t>
      </w:r>
    </w:p>
    <w:p>
      <w:pPr/>
      <w:r>
        <w:rPr>
          <w:b w:val="0"/>
          <w:i w:val="0"/>
        </w:rPr>
        <w:t>The retained main evidence and PR #328 cross-check agree: targeted items 20, 23 and 42 each have 200 valid comparisons out of 200. INTCALC's three variable fields increased from one distinct value each to two, three and three. The seven source-assigned constants remain compared and mutation-tested.</w:t>
      </w:r>
    </w:p>
    <w:p>
      <w:pPr/>
      <w:r>
        <w:rPr>
          <w:b w:val="0"/>
          <w:i w:val="0"/>
        </w:rPr>
        <w:t>The retained INTCALC assessment reports 8 of 8 business outcomes, 85 of 86 I/O outcomes and 308 raw mutation kills out of 421 sites. These are dated measurements, not a new release verdict. Fresh loader receipts, a completed threshold reconciliation and effective scoped decisions must be assessed before changing that verdict. B06 Part 6 still lacks signed attempt and cleanup evidence.</w:t>
      </w:r>
    </w:p>
    <w:p>
      <w:pPr>
        <w:pStyle w:val="Heading1"/>
      </w:pPr>
      <w:r>
        <w:rPr>
          <w:b w:val="0"/>
          <w:i w:val="0"/>
        </w:rPr>
        <w:t>Customer value and next decision</w:t>
      </w:r>
    </w:p>
    <w:p>
      <w:pPr/>
      <w:r>
        <w:rPr>
          <w:b w:val="0"/>
          <w:i w:val="0"/>
        </w:rPr>
        <w:t>A reviewer can distinguish defects, unsupported inputs and unproven results. The next decisions are effective INTCALC approvals and authorization of the POSTTRAN Phase 2 plan. These claims remain limited to the public execution twin; customer workloads and z/OS equivalence require separate evidence.</w:t>
      </w:r>
    </w:p>
    <w:p>
      <w:pPr>
        <w:pStyle w:val="Heading1"/>
      </w:pPr>
      <w:r>
        <w:rPr>
          <w:b w:val="0"/>
          <w:i w:val="0"/>
        </w:rPr>
        <w:t>Supporting records</w:t>
      </w:r>
    </w:p>
    <w:p>
      <w:pPr>
        <w:pStyle w:val="ListBullet"/>
      </w:pPr>
      <w:hyperlink r:id="rId12">
        <w:r>
          <w:rPr>
            <w:color w:val="244D79"/>
          </w:rPr>
          <w:t xml:space="preserve">Measured INTCALC assessment</w:t>
        </w:r>
      </w:hyperlink>
    </w:p>
    <w:p>
      <w:pPr>
        <w:pStyle w:val="ListBullet"/>
      </w:pPr>
      <w:hyperlink r:id="rId13">
        <w:r>
          <w:rPr>
            <w:color w:val="244D79"/>
          </w:rPr>
          <w:t xml:space="preserve">Dated decision packet</w:t>
        </w:r>
      </w:hyperlink>
    </w:p>
    <w:p>
      <w:pPr>
        <w:pStyle w:val="ListBullet"/>
      </w:pPr>
      <w:hyperlink r:id="rId14">
        <w:r>
          <w:rPr>
            <w:color w:val="244D79"/>
          </w:rPr>
          <w:t xml:space="preserve">Retained evidence index</w:t>
        </w:r>
      </w:hyperlink>
    </w:p>
    <w:p>
      <w:pPr>
        <w:pStyle w:val="ListBullet"/>
      </w:pPr>
      <w:hyperlink r:id="rId15">
        <w:r>
          <w:rPr>
            <w:color w:val="244D79"/>
          </w:rPr>
          <w:t xml:space="preserve">Phase 2 preparation CI</w:t>
        </w:r>
      </w:hyperlink>
    </w:p>
    <w:p>
      <w:pPr/>
      <w:r>
        <w:rPr>
          <w:b w:val="0"/>
          <w:i w:val="0"/>
        </w:rPr>
        <w:t xml:space="preserve">The packet's inactive-backfill statement predates the local activation recorded in </w:t>
      </w:r>
      <w:hyperlink r:id="rId16">
        <w:r>
          <w:rPr>
            <w:color w:val="244D79"/>
          </w:rPr>
          <w:t xml:space="preserve">MS 106</w:t>
        </w:r>
      </w:hyperlink>
      <w:r>
        <w:rPr>
          <w:b w:val="0"/>
          <w:i w:val="0"/>
        </w:rPr>
        <w:t>. Conditional release decisions remain conditional.</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pull/337" TargetMode="External"/><Relationship Id="rId12" Type="http://schemas.openxmlformats.org/officeDocument/2006/relationships/hyperlink" Target="https://github.com/howardweale/lightyear-carddemo-modernization/blob/main/docs/factory/intcalc-releasability-2026-10-14.md" TargetMode="External"/><Relationship Id="rId13" Type="http://schemas.openxmlformats.org/officeDocument/2006/relationships/hyperlink" Target="https://github.com/howardweale/lightyear-carddemo-modernization/blob/main/docs/factory/howard-decision-packet-2026-10-14.md" TargetMode="External"/><Relationship Id="rId14" Type="http://schemas.openxmlformats.org/officeDocument/2006/relationships/hyperlink" Target="https://github.com/howardweale/lightyear-carddemo-modernization/blob/main/docs/factory/release-evidence-2026-10-14/index.json" TargetMode="External"/><Relationship Id="rId15" Type="http://schemas.openxmlformats.org/officeDocument/2006/relationships/hyperlink" Target="https://github.com/howardweale/lightyear-carddemo-modernization/actions/runs/38668160669" TargetMode="External"/><Relationship Id="rId16" Type="http://schemas.openxmlformats.org/officeDocument/2006/relationships/hyperlink" Target="https://github.com/howardweale/lightyear-carddemo-modernization/blob/main/docs/milestones/MS-106/MS-106.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104 INTCALC release evidence and POSTTRAN comparison preparation</dc:title>
  <dc:subject>Canonical milestone record and bounded evidence</dc:subject>
  <dc:creator>LIGHTYEAR</dc:creator>
  <cp:keywords/>
  <dc:description>Source SHA256: 3896e1e4e97b682abf403feb600692eca420454761b3ee6f4c9de487ff562ff0</dc:description>
  <cp:lastModifiedBy/>
  <cp:revision>1</cp:revision>
  <dcterms:created xsi:type="dcterms:W3CDTF">2013-12-23T23:15:00Z</dcterms:created>
  <dcterms:modified xsi:type="dcterms:W3CDTF">2013-12-23T23:15:00Z</dcterms:modified>
  <cp:category/>
</cp:coreProperties>
</file>