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#69 - iDempiere Deterministic Semantic Comparison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bounded baseline with open semantic findings</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0.69.0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2026-09-11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#69 ran all 1,078 paired migrations through a deterministic comparator. It decided 776 of 111,293 SQL units (0.70 percent). The remaining uncertainty is recorded by source range and reason; this baseline does not establish migration equivalence.</w:t>
      </w:r>
    </w:p>
    <w:p>
      <w:pPr>
        <w:pStyle w:val="Heading1"/>
      </w:pPr>
      <w:r>
        <w:t>Why this matters to a customer</w:t>
      </w:r>
    </w:p>
    <w:p>
      <w:r>
        <w:t>Measures how much of the paired migration SQL a deterministic comparator can actually decide and makes the unresolved surface explicit before any model spend.</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quote-aware lexer and bounded projection of schema changes and DML structure, retaining unsupported forms.</w:t>
      </w:r>
    </w:p>
    <w:p>
      <w:pPr>
        <w:pStyle w:val="ListBullet"/>
      </w:pPr>
      <w:r>
        <w:t>Oracle MODIFY and PostgreSQL t_alter_column expansion using the pinned helper definition, with dynamic catalog and dependent-view behavior unresolved.</w:t>
      </w:r>
    </w:p>
    <w:p>
      <w:pPr>
        <w:pStyle w:val="ListBullet"/>
      </w:pPr>
      <w:r>
        <w:t>A sealed 93-pair order-to-cash pilot followed by 985 remaining pairs, preserving operation order and repeated writes.</w:t>
      </w:r>
    </w:p>
    <w:p>
      <w:pPr>
        <w:pStyle w:val="ListBullet"/>
      </w:pPr>
      <w:r>
        <w:t>Coverage of 111,293 SQL units: 776 parsed and compared, 103,922 parsed but indeterminate, and 6,595 unparsed. Another 4,127 administrative units are separately excluded.</w:t>
      </w:r>
    </w:p>
    <w:p>
      <w:pPr>
        <w:pStyle w:val="ListBullet"/>
      </w:pPr>
      <w:r>
        <w:t>One pair equivalent under the static policy, zero proven declared-effect divergences, and 1,077 indeterminate pairs.</w:t>
      </w:r>
    </w:p>
    <w:p>
      <w:pPr>
        <w:pStyle w:val="ListBullet"/>
      </w:pPr>
      <w:r>
        <w:t>Source-range findings, pilot and full reports, an unsigned content-addressed receipt, schema, cross-platform commands, source replay and adversarial tests.</w:t>
      </w:r>
    </w:p>
    <w:p>
      <w:pPr>
        <w:pStyle w:val="Heading1"/>
      </w:pPr>
      <w:r>
        <w:t>How it differs from earlier work</w:t>
      </w:r>
    </w:p>
    <w:p>
      <w:r>
        <w:t>MS #68 supplied the exact source pin, pairing manifest and order-to-cash pilot. MS #69 reuses those artifacts and the MS #33 semantic vocabulary. MS #70 will adapt the existing Planner and Analyst workcell to bounded findings; no model workcell is rebuilt or called here.</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idempiere deterministic semantic comparison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completed baseline has low decision coverage. DML needs baseline column, trigger, predicate and coercion evidence; it is not certified equivalent.</w:t>
      </w:r>
    </w:p>
    <w:p>
      <w:pPr>
        <w:pStyle w:val="ListBullet"/>
      </w:pPr>
      <w:r>
        <w:t>Coverage counts statements and opaque blocks on both dialect sides, not lexical occurrences. Malformed input can form one opaque remainder unit.</w:t>
      </w:r>
    </w:p>
    <w:p>
      <w:pPr>
        <w:pStyle w:val="ListBullet"/>
      </w:pPr>
      <w:r>
        <w:t>Equivalence covers ordered declared schema effects only. It excludes final database state, successful execution, registration/client effects and runtime behavior.</w:t>
      </w:r>
    </w:p>
    <w:p>
      <w:pPr>
        <w:pStyle w:val="ListBullet"/>
      </w:pPr>
      <w:r>
        <w:t>Character, datetime, unconstrained numeric, catalog and helper-deployment obligations remain unresolved. Maintenance provenance is unclassified.</w:t>
      </w:r>
    </w:p>
    <w:p>
      <w:pPr>
        <w:pStyle w:val="ListBullet"/>
      </w:pPr>
      <w:r>
        <w:t>No agents were called or work orders created. MS #70 must bound and budget a sample before using the existing workcell.</w:t>
      </w:r>
    </w:p>
    <w:p>
      <w:pPr>
        <w:pStyle w:val="ListBullet"/>
      </w:pPr>
      <w:r>
        <w:t>No native execution, application equivalence, audit completion, migration completion or production readiness is claimed. Earlier signed CloudBank evidence is unchanged.</w:t>
      </w:r>
    </w:p>
    <w:p>
      <w:pPr>
        <w:pStyle w:val="Heading1"/>
      </w:pPr>
      <w:r>
        <w:t>Source of record</w:t>
      </w:r>
    </w:p>
    <w:p>
      <w:pPr>
        <w:pStyle w:val="ListBullet"/>
      </w:pPr>
      <w:r>
        <w:t>CHANGELOG.md release section(s): 0.69.0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#69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#69 - iDempiere Deterministic Semantic Comparison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