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#46 - Unified Estate Operator Navigation</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0.46.0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2026-08-31</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#46 - Unified Estate Operator Navigation converts a specific part of the LIGHTYEAR modernization approach into a governed, reviewable capability. Gives an operator one customer-centered graph experience for moving between mainframe and database work while preserving the cross-platform dependencies that explain customer impact.</w:t>
      </w:r>
    </w:p>
    <w:p>
      <w:pPr>
        <w:pStyle w:val="Heading1"/>
      </w:pPr>
      <w:r>
        <w:t>Why this matters to a customer</w:t>
      </w:r>
    </w:p>
    <w:p>
      <w:r>
        <w:t>Gives an operator one customer-centered graph experience for moving between mainframe and database work while preserving the cross-platform dependencies that explain customer impact.</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customer, technology-scope, and operator-lens context bar that separates engagement, platform focus, and task perspective.</w:t>
      </w:r>
    </w:p>
    <w:p>
      <w:pPr>
        <w:pStyle w:val="ListBullet"/>
      </w:pPr>
      <w:r>
        <w:t>Unified-estate, mainframe, and database scopes that visually focus the graph without hiding connected cross-platform context; SAP estate and security-vulnerability views are explicitly planned.</w:t>
      </w:r>
    </w:p>
    <w:p>
      <w:pPr>
        <w:pStyle w:val="ListBullet"/>
      </w:pPr>
      <w:r>
        <w:t>Platform classification and coverage metadata for COBOL, PL/I, DB2, VSAM, IMS, JCL, CICS, assembler, BMS, Java, Oracle, SAP ASE, and future SAP evidence.</w:t>
      </w:r>
    </w:p>
    <w:p>
      <w:pPr>
        <w:pStyle w:val="ListBullet"/>
      </w:pPr>
      <w:r>
        <w:t>Directed source-to-target tracing plus a related-evidence mode, platform sequence, hop count, evidence class, and runtime limitation.</w:t>
      </w:r>
    </w:p>
    <w:p>
      <w:pPr>
        <w:pStyle w:val="ListBullet"/>
      </w:pPr>
      <w:r>
        <w:t>First-class IMS DLI statement nodes and ISSUES_DLI, READS_SEGMENT, and WRITES_SEGMENT relationships that resolve source operations through the program's PSB/PCB authorization view.</w:t>
      </w:r>
    </w:p>
    <w:p>
      <w:pPr>
        <w:pStyle w:val="ListBullet"/>
      </w:pPr>
      <w:r>
        <w:t>One-click source-backed COBOL-to-IMS DLET tracing plus a separate non-customer AUTHUPD1 PL/I-to-DB2 UPDATE reference fixture; the original ACCTPL1 path remains a DB2 read.</w:t>
      </w:r>
    </w:p>
    <w:p>
      <w:pPr>
        <w:pStyle w:val="ListBullet"/>
      </w:pPr>
      <w:r>
        <w:t>Visible static-source, static-reference-fixture, non-customer, and runtime-not-observed labels for every proven example.</w:t>
      </w:r>
    </w:p>
    <w:p>
      <w:pPr>
        <w:pStyle w:val="ListBullet"/>
      </w:pPr>
      <w:r>
        <w:t>Search and trace gap states that explain why Oracle and SAP ASE cannot yet participate in an end-to-end graph claim.</w:t>
      </w:r>
    </w:p>
    <w:p>
      <w:pPr>
        <w:pStyle w:val="ListBullet"/>
      </w:pPr>
      <w:r>
        <w:t>Regression tests for directionality, platform coverage, planned lenses, composite PL/I paths, portable UI controls, and documentation integrity.</w:t>
      </w:r>
    </w:p>
    <w:p>
      <w:pPr>
        <w:pStyle w:val="Heading1"/>
      </w:pPr>
      <w:r>
        <w:t>How it differs from earlier work</w:t>
      </w:r>
    </w:p>
    <w:p>
      <w:r>
        <w:t>Earlier graph work made individual perspectives explorable, and MS #43/MS #45 qualified Oracle and SAP ASE adapters outside the graph. MS #46 adds an operator model and evidence-aware path tracing across the unified estate without pretending that standalone adapter evidence is already an end-to-end customer integration.</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unified estate operator navigation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graph proves committed static and declaration relationships; it does not prove that a production transaction executed.</w:t>
      </w:r>
    </w:p>
    <w:p>
      <w:pPr>
        <w:pStyle w:val="ListBullet"/>
      </w:pPr>
      <w:r>
        <w:t>The COBOL-to-IMS write path proves statically declared DLI mutation intent against an authorized segment; it does not prove that IMS executed or committed the operation.</w:t>
      </w:r>
    </w:p>
    <w:p>
      <w:pPr>
        <w:pStyle w:val="ListBullet"/>
      </w:pPr>
      <w:r>
        <w:t>The AUTHUPD1 PL/I-to-DB2 write is a bundled reference fixture, not customer source; ACCTPL1 remains read-only.</w:t>
      </w:r>
    </w:p>
    <w:p>
      <w:pPr>
        <w:pStyle w:val="ListBullet"/>
      </w:pPr>
      <w:r>
        <w:t>Oracle and SAP ASE qualification artifacts are not yet projected into the graph and have no customer integration call edges.</w:t>
      </w:r>
    </w:p>
    <w:p>
      <w:pPr>
        <w:pStyle w:val="ListBullet"/>
      </w:pPr>
      <w:r>
        <w:t>The bundled customer selector represents the CardDemo reference estate; no customer system is attached.</w:t>
      </w:r>
    </w:p>
    <w:p>
      <w:pPr>
        <w:pStyle w:val="ListBullet"/>
      </w:pPr>
      <w:r>
        <w:t>SAP application and governed security-vulnerability findings remain planned capabilities.</w:t>
      </w:r>
    </w:p>
    <w:p>
      <w:pPr>
        <w:pStyle w:val="ListBullet"/>
      </w:pPr>
      <w:r>
        <w:t>Cross-platform production behavior, live equivalence, and production readiness remain false.</w:t>
      </w:r>
    </w:p>
    <w:p>
      <w:pPr>
        <w:pStyle w:val="Heading1"/>
      </w:pPr>
      <w:r>
        <w:t>Source of record</w:t>
      </w:r>
    </w:p>
    <w:p>
      <w:pPr>
        <w:pStyle w:val="ListBullet"/>
      </w:pPr>
      <w:r>
        <w:t>CHANGELOG.md release section(s): 0.46.0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#46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#46 - Unified Estate Operator Navigation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