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#70 - iDempiere Bounded Triage and Evidence Assembly</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bounded safe-floor package; live model run remains gated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0.70.0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2026-09-11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#70 packages twenty representative MS #69 findings behind hard model budgets and an authoritative deterministic verifier. The committed evidence records no live model run, preserves all 1,077 findings as indeterminate, and assembles complete coverage and claim-boundary registers.</w:t>
      </w:r>
    </w:p>
    <w:p>
      <w:pPr>
        <w:pStyle w:val="Heading1"/>
      </w:pPr>
      <w:r>
        <w:t>Why this matters to a customer</w:t>
      </w:r>
    </w:p>
    <w:p>
      <w:r>
        <w:t>Turns the large unresolved comparison surface into a reviewable, budgeted work package and complete finding register without allowing model output to overrule deterministic evidence.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deterministic sample of 20 unique flagged pairs across ten repeated reason strata, balanced between the frozen order-to-cash pilot and the remaining estate.</w:t>
      </w:r>
    </w:p>
    <w:p>
      <w:pPr>
        <w:pStyle w:val="ListBullet"/>
      </w:pPr>
      <w:r>
        <w:t>Source-hash-bound context hydration limited to implicated ranges plus two lines, 48 lines per dialect and 80,000 bytes per role.</w:t>
      </w:r>
    </w:p>
    <w:p>
      <w:pPr>
        <w:pStyle w:val="ListBullet"/>
      </w:pPr>
      <w:r>
        <w:t>Audit-specific strict Planner and Analyst schemas with 20-call role ceilings, 60,000 input-token and 25,000 output-token per-call limits, and a USD 200 aggregate cost ceiling.</w:t>
      </w:r>
    </w:p>
    <w:p>
      <w:pPr>
        <w:pStyle w:val="ListBullet"/>
      </w:pPr>
      <w:r>
        <w:t>A deterministic verifier that rejects unbound evidence and reasons, preserves every MS #69 semantic verdict, and downgrades unsupported divergence proposals to indeterminate.</w:t>
      </w:r>
    </w:p>
    <w:p>
      <w:pPr>
        <w:pStyle w:val="ListBullet"/>
      </w:pPr>
      <w:r>
        <w:t>A safe-floor role-contract calibration, full 1,077-pair indeterminate register, zero-entry divergence register, sampled provenance register and exact coverage denominator.</w:t>
      </w:r>
    </w:p>
    <w:p>
      <w:pPr>
        <w:pStyle w:val="ListBullet"/>
      </w:pPr>
      <w:r>
        <w:t>A content-addressed receipt and schema, cross-platform build and verification commands, optional credentialed live-run plumbing, source replay and adversarial tests.</w:t>
      </w:r>
    </w:p>
    <w:p>
      <w:pPr>
        <w:pStyle w:val="Heading1"/>
      </w:pPr>
      <w:r>
        <w:t>How it differs from earlier work</w:t>
      </w:r>
    </w:p>
    <w:p>
      <w:r>
        <w:t>MS #68 supplied the exact pairing and source pin, and MS #69 supplied source-range semantic findings. MS #70 reuses the existing bounded-provider controls, adds audit-specific Planner and Analyst contracts, and keeps Builder absent and deterministic verification authoritative.</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idempiere bounded triage and evidence assembly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committed calibration records zero model calls and is not evidence of live Planner or Analyst performance.</w:t>
      </w:r>
    </w:p>
    <w:p>
      <w:pPr>
        <w:pStyle w:val="ListBullet"/>
      </w:pPr>
      <w:r>
        <w:t>The twenty-case sample is not the entire 1,077-pair flagged set; all flagged semantic verdicts remain indeterminate.</w:t>
      </w:r>
    </w:p>
    <w:p>
      <w:pPr>
        <w:pStyle w:val="ListBullet"/>
      </w:pPr>
      <w:r>
        <w:t>The zero-entry divergence register means no divergence is proven by the bounded deterministic evidence, not that none exists.</w:t>
      </w:r>
    </w:p>
    <w:p>
      <w:pPr>
        <w:pStyle w:val="ListBullet"/>
      </w:pPr>
      <w:r>
        <w:t>Per-pair maintenance provenance remains unclassified because no source-history evidence is admitted.</w:t>
      </w:r>
    </w:p>
    <w:p>
      <w:pPr>
        <w:pStyle w:val="ListBullet"/>
      </w:pPr>
      <w:r>
        <w:t>Builder is not used, no upstream source is edited, and no database is executed.</w:t>
      </w:r>
    </w:p>
    <w:p>
      <w:pPr>
        <w:pStyle w:val="ListBullet"/>
      </w:pPr>
      <w:r>
        <w:t>Audit completion, native execution, application equivalence, migration completion, customer readiness and production readiness remain false. Community contact was not authorized or performed.</w:t>
      </w:r>
    </w:p>
    <w:p>
      <w:pPr>
        <w:pStyle w:val="Heading1"/>
      </w:pPr>
      <w:r>
        <w:t>Source of record</w:t>
      </w:r>
    </w:p>
    <w:p>
      <w:pPr>
        <w:pStyle w:val="ListBullet"/>
      </w:pPr>
      <w:r>
        <w:t>CHANGELOG.md release section(s): 0.70.0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#70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#70 - iDempiere Bounded Triage and Evidence Assembly</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