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#22 - Mixed PL/I Modernization Proof</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0.22.0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2026-08-26</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#22 - Mixed PL/I Modernization Proof converts a specific part of the LIGHTYEAR modernization approach into a governed, reviewable capability. Demonstrates a bounded PL/I, COBOL, and DB2 modernization slice with explicit cross-language contracts.</w:t>
      </w:r>
    </w:p>
    <w:p>
      <w:pPr>
        <w:pStyle w:val="Heading1"/>
      </w:pPr>
      <w:r>
        <w:t>Why this matters to a customer</w:t>
      </w:r>
    </w:p>
    <w:p>
      <w:r>
        <w:t>Demonstrates a bounded PL/I, COBOL, and DB2 modernization slice with explicit cross-language contracts.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Advanced the bounded mixed ACCTPL1 PL/I-COBOL-Db2 workload from discovery-only to a content-addressed local development proof.</w:t>
      </w:r>
    </w:p>
    <w:p>
      <w:pPr>
        <w:pStyle w:val="ListBullet"/>
      </w:pPr>
      <w:r>
        <w:t>Made the PL/I source explicit about OPTIONS(COBOL), the CBACT04C parameter aggregate, and DIVIDE(...,5,2) truncation semantics.</w:t>
      </w:r>
    </w:p>
    <w:p>
      <w:pPr>
        <w:pStyle w:val="ListBullet"/>
      </w:pPr>
      <w:r>
        <w:t>Added a curated behavior contract, seven boundary fixtures, a source-faithful executable oracle, and an independently implemented Python modernization candidate.</w:t>
      </w:r>
    </w:p>
    <w:p>
      <w:pPr>
        <w:pStyle w:val="ListBullet"/>
      </w:pPr>
      <w:r>
        <w:t>Added nine mutation probes covering Db2 overwrite behavior, risk calculation and rounding, COBOL target and parameters, and fail-closed error side effects.</w:t>
      </w:r>
    </w:p>
    <w:p>
      <w:pPr>
        <w:pStyle w:val="ListBullet"/>
      </w:pPr>
      <w:r>
        <w:t>Added a production-shaped Java service and JUnit suite for the same bounded service seam.</w:t>
      </w:r>
    </w:p>
    <w:p>
      <w:pPr>
        <w:pStyle w:val="ListBullet"/>
      </w:pPr>
      <w:r>
        <w:t>Added deterministic POSIX and PowerShell build/verify launchers plus a fail-closed development receipt binding graph, fragment, contract, fixtures, comparison, and candidate sources.</w:t>
      </w:r>
    </w:p>
    <w:p>
      <w:pPr>
        <w:pStyle w:val="ListBullet"/>
      </w:pPr>
      <w:r>
        <w:t>Promoted PL/I capability gates 3-5 to passed and gate 7 to mechanism-ready while keeping authorized z/OS execution, signed equivalence, mainframe equivalence, and production readiness explicitly blocked.</w:t>
      </w:r>
    </w:p>
    <w:p>
      <w:pPr>
        <w:pStyle w:val="Heading1"/>
      </w:pPr>
      <w:r>
        <w:t>How it differs from earlier work</w:t>
      </w:r>
    </w:p>
    <w:p>
      <w:r>
        <w:t>MS #22 builds on MS #21 (Mainframe Access Readiness Campaign). The earlier milestone established its own bounded capability; this milestone adds mixed pl/i modernization proof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mixed pl/i modernization proof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0.22.0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#22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#22 - Mixed PL/I Modernization Proof</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