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A7702C"/>
          <w:sz w:val="18"/>
        </w:rPr>
        <w:t>CUSTOMER MILESTONE BRIEF</w:t>
      </w:r>
    </w:p>
    <w:p>
      <w:pPr>
        <w:spacing w:after="160"/>
      </w:pPr>
      <w:r>
        <w:rPr>
          <w:rFonts w:ascii="Arial" w:hAnsi="Arial"/>
          <w:b/>
          <w:color w:val="15184D"/>
          <w:sz w:val="56"/>
        </w:rPr>
        <w:t>MS #30 - Customer Source Analysis Workcell</w:t>
      </w:r>
    </w:p>
    <w:p>
      <w:pPr>
        <w:spacing w:after="360"/>
      </w:pPr>
      <w:r>
        <w:rPr>
          <w:rFonts w:ascii="Arial" w:hAnsi="Arial"/>
          <w:color w:val="676985"/>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EFEBFB"/>
          </w:tcPr>
          <w:p>
            <w:r>
              <w:rPr>
                <w:rFonts w:ascii="Arial" w:hAnsi="Arial"/>
                <w:b/>
                <w:color w:val="15184D"/>
              </w:rPr>
              <w:t>Status</w:t>
            </w:r>
          </w:p>
        </w:tc>
        <w:tc>
          <w:tcPr>
            <w:tcW w:type="dxa" w:w="6660"/>
            <w:tcMar>
              <w:top w:w="80" w:type="dxa"/>
              <w:bottom w:w="80" w:type="dxa"/>
              <w:start w:w="120" w:type="dxa"/>
              <w:end w:w="120" w:type="dxa"/>
            </w:tcMar>
            <w:vAlign w:val="center"/>
          </w:tcPr>
          <w:p>
            <w:r>
              <w:rPr>
                <w:rFonts w:ascii="Arial" w:hAnsi="Arial"/>
              </w:rPr>
              <w:t>Complete</w:t>
            </w:r>
          </w:p>
        </w:tc>
      </w:tr>
      <w:tr>
        <w:tc>
          <w:tcPr>
            <w:tcW w:type="dxa" w:w="2700"/>
            <w:tcMar>
              <w:top w:w="80" w:type="dxa"/>
              <w:bottom w:w="80" w:type="dxa"/>
              <w:start w:w="120" w:type="dxa"/>
              <w:end w:w="120" w:type="dxa"/>
            </w:tcMar>
            <w:vAlign w:val="center"/>
            <w:shd w:fill="EFEBFB"/>
          </w:tcPr>
          <w:p>
            <w:r>
              <w:rPr>
                <w:rFonts w:ascii="Arial" w:hAnsi="Arial"/>
                <w:b/>
                <w:color w:val="15184D"/>
              </w:rPr>
              <w:t>Release</w:t>
            </w:r>
          </w:p>
        </w:tc>
        <w:tc>
          <w:tcPr>
            <w:tcW w:type="dxa" w:w="6660"/>
            <w:tcMar>
              <w:top w:w="80" w:type="dxa"/>
              <w:bottom w:w="80" w:type="dxa"/>
              <w:start w:w="120" w:type="dxa"/>
              <w:end w:w="120" w:type="dxa"/>
            </w:tcMar>
            <w:vAlign w:val="center"/>
          </w:tcPr>
          <w:p>
            <w:r>
              <w:rPr>
                <w:rFonts w:ascii="Arial" w:hAnsi="Arial"/>
              </w:rPr>
              <w:t>0.30.0</w:t>
            </w:r>
          </w:p>
        </w:tc>
      </w:tr>
      <w:tr>
        <w:tc>
          <w:tcPr>
            <w:tcW w:type="dxa" w:w="2700"/>
            <w:tcMar>
              <w:top w:w="80" w:type="dxa"/>
              <w:bottom w:w="80" w:type="dxa"/>
              <w:start w:w="120" w:type="dxa"/>
              <w:end w:w="120" w:type="dxa"/>
            </w:tcMar>
            <w:vAlign w:val="center"/>
            <w:shd w:fill="EFEBFB"/>
          </w:tcPr>
          <w:p>
            <w:r>
              <w:rPr>
                <w:rFonts w:ascii="Arial" w:hAnsi="Arial"/>
                <w:b/>
                <w:color w:val="15184D"/>
              </w:rPr>
              <w:t>Date</w:t>
            </w:r>
          </w:p>
        </w:tc>
        <w:tc>
          <w:tcPr>
            <w:tcW w:type="dxa" w:w="6660"/>
            <w:tcMar>
              <w:top w:w="80" w:type="dxa"/>
              <w:bottom w:w="80" w:type="dxa"/>
              <w:start w:w="120" w:type="dxa"/>
              <w:end w:w="120" w:type="dxa"/>
            </w:tcMar>
            <w:vAlign w:val="center"/>
          </w:tcPr>
          <w:p>
            <w:r>
              <w:rPr>
                <w:rFonts w:ascii="Arial" w:hAnsi="Arial"/>
              </w:rPr>
              <w:t>2026-08-29</w:t>
            </w:r>
          </w:p>
        </w:tc>
      </w:tr>
      <w:tr>
        <w:tc>
          <w:tcPr>
            <w:tcW w:type="dxa" w:w="2700"/>
            <w:tcMar>
              <w:top w:w="80" w:type="dxa"/>
              <w:bottom w:w="80" w:type="dxa"/>
              <w:start w:w="120" w:type="dxa"/>
              <w:end w:w="120" w:type="dxa"/>
            </w:tcMar>
            <w:vAlign w:val="center"/>
            <w:shd w:fill="EFEBFB"/>
          </w:tcPr>
          <w:p>
            <w:r>
              <w:rPr>
                <w:rFonts w:ascii="Arial" w:hAnsi="Arial"/>
                <w:b/>
                <w:color w:val="15184D"/>
              </w:rPr>
              <w:t>Audience</w:t>
            </w:r>
          </w:p>
        </w:tc>
        <w:tc>
          <w:tcPr>
            <w:tcW w:type="dxa" w:w="6660"/>
            <w:tcMar>
              <w:top w:w="80" w:type="dxa"/>
              <w:bottom w:w="80" w:type="dxa"/>
              <w:start w:w="120" w:type="dxa"/>
              <w:end w:w="120" w:type="dxa"/>
            </w:tcMar>
            <w:vAlign w:val="center"/>
          </w:tcPr>
          <w:p>
            <w:r>
              <w:rPr>
                <w:rFonts w:ascii="Arial" w:hAnsi="Arial"/>
              </w:rPr>
              <w:t>Customers, partners, executives, architects, delivery teams, and assurance reviewers</w:t>
            </w:r>
          </w:p>
        </w:tc>
      </w:tr>
    </w:tbl>
    <w:p>
      <w:pPr>
        <w:pStyle w:val="Heading1"/>
      </w:pPr>
      <w:r>
        <w:t>Executive summary</w:t>
      </w:r>
    </w:p>
    <w:p>
      <w:r>
        <w:t>MS #30 - Customer Source Analysis Workcell converts a specific part of the LIGHTYEAR modernization approach into a governed, reviewable capability. Builds a customer-specific graph and analysis receipt rather than presenting the CardDemo reference graph as customer evidence.</w:t>
      </w:r>
    </w:p>
    <w:p>
      <w:pPr>
        <w:pStyle w:val="Heading1"/>
      </w:pPr>
      <w:r>
        <w:t>Why this matters to a customer</w:t>
      </w:r>
    </w:p>
    <w:p>
      <w:r>
        <w:t>Builds a customer-specific graph and analysis receipt rather than presenting the CardDemo reference graph as customer evidence.</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Added a deterministic customer source analysis workcell bound to each approved intake rather than projecting the repository's CardDemo graph as customer evidence.</w:t>
      </w:r>
    </w:p>
    <w:p>
      <w:pPr>
        <w:pStyle w:val="ListBullet"/>
      </w:pPr>
      <w:r>
        <w:t>Added a dedicated content-addressed relationship ontology spanning bounded COBOL, copybook, PL/I, JCL, Db2 DDL/SQL, HLASM control flow, IMS DBD/PSB structure, VSAM IDCAMS definitions, and approved CICS configuration relationships.</w:t>
      </w:r>
    </w:p>
    <w:p>
      <w:pPr>
        <w:pStyle w:val="ListBullet"/>
      </w:pPr>
      <w:r>
        <w:t>Added customer-specific gzip graph snapshots and analysis receipts with parser coverage, entity counts, graph statistics, exact source identities, and visible unresolved or ambiguous references.</w:t>
      </w:r>
    </w:p>
    <w:p>
      <w:pPr>
        <w:pStyle w:val="ListBullet"/>
      </w:pPr>
      <w:r>
        <w:t>Added native COBOL-to-PL/I calls, JCL-to-PL/I/HLASM execution, HLASM branch targets, IMS DBD-to-segment and PSB-to-PCB lineage, and VSAM cluster-to-AIX-to-path relationships inside the pilot analysis contract without changing the canonical CardDemo graph identity.</w:t>
      </w:r>
    </w:p>
    <w:p>
      <w:pPr>
        <w:pStyle w:val="ListBullet"/>
      </w:pPr>
      <w:r>
        <w:t>Added fail-closed source re-hashing, graph/ontology validation, size bounds, analysis tamper tests, and explicit rejection of behavior, live-system, mainframe-equivalence, and production claims.</w:t>
      </w:r>
    </w:p>
    <w:p>
      <w:pPr>
        <w:pStyle w:val="ListBullet"/>
      </w:pPr>
      <w:r>
        <w:t>Added a v2 pilot dossier that binds the customer analysis while preserving the v1 intake, preflight, and analysis contracts and the historical v1 dossier schema.</w:t>
      </w:r>
    </w:p>
    <w:p>
      <w:pPr>
        <w:pStyle w:val="ListBullet"/>
      </w:pPr>
      <w:r>
        <w:t>Extended POSIX and PowerShell pilot flows with an explicit analyze stage and made the six-artifact, nine-source-class reference rehearsal byte-reproducible on Linux, macOS, and Windows.</w:t>
      </w:r>
    </w:p>
    <w:p>
      <w:pPr>
        <w:pStyle w:val="Heading1"/>
      </w:pPr>
      <w:r>
        <w:t>How it differs from earlier work</w:t>
      </w:r>
    </w:p>
    <w:p>
      <w:r>
        <w:t>MS #30 builds on MS #29 (Governed Source-Only Pilot Intake). The earlier milestone established its own bounded capability; this milestone adds customer source analysis workcell while preserving the earlier evidence and its limits.</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customer source analysis workcell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This milestone establishes only the bounded capabilities and evidence listed here; later capabilities are not retroactive.</w:t>
      </w:r>
    </w:p>
    <w:p>
      <w:pPr>
        <w:pStyle w:val="ListBullet"/>
      </w:pPr>
      <w:r>
        <w:t>Production readiness and platform equivalence require the explicit evidence and policy gates applicable to the customer environment.</w:t>
      </w:r>
    </w:p>
    <w:p>
      <w:pPr>
        <w:pStyle w:val="Heading1"/>
      </w:pPr>
      <w:r>
        <w:t>Source of record</w:t>
      </w:r>
    </w:p>
    <w:p>
      <w:pPr>
        <w:pStyle w:val="ListBullet"/>
      </w:pPr>
      <w:r>
        <w:t>CHANGELOG.md release section(s): 0.30.0</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sectPr w:rsidR="00FC693F" w:rsidRPr="0006063C" w:rsidSect="00034616">
      <w:headerReference w:type="default" r:id="rId9"/>
      <w:footerReference w:type="default" r:id="rId10"/>
      <w:pgSz w:w="12240" w:h="15840"/>
      <w:pgMar w:top="1267" w:right="1440" w:bottom="1440" w:left="1440" w:header="403"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jc w:val="left"/>
    </w:pPr>
    <w:r>
      <w:rPr>
        <w:rFonts w:ascii="Arial" w:hAnsi="Arial"/>
        <w:color w:val="676985"/>
        <w:sz w:val="15"/>
      </w:rPr>
      <w:t>Underlying evidence remains authoritative.</w:t>
    </w:r>
    <w:r>
      <w:rPr>
        <w:rFonts w:ascii="Arial" w:hAnsi="Arial"/>
        <w:color w:val="676985"/>
        <w:sz w:val="17"/>
      </w:rPr>
      <w:tab/>
      <w:t xml:space="preserve">MS #30  |  Page </w:t>
    </w:r>
    <w:r>
      <w:fldChar w:fldCharType="begin"/>
      <w:instrText>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3" w:color="A7702C"/>
      </w:pBdr>
    </w:pPr>
    <w:r>
      <w:drawing>
        <wp:inline xmlns:a="http://schemas.openxmlformats.org/drawingml/2006/main" xmlns:pic="http://schemas.openxmlformats.org/drawingml/2006/picture">
          <wp:extent cx="960120" cy="586740"/>
          <wp:docPr id="1" name="Picture 1"/>
          <wp:cNvGraphicFramePr>
            <a:graphicFrameLocks noChangeAspect="1"/>
          </wp:cNvGraphicFramePr>
          <a:graphic>
            <a:graphicData uri="http://schemas.openxmlformats.org/drawingml/2006/picture">
              <pic:pic>
                <pic:nvPicPr>
                  <pic:cNvPr id="0" name="lightyear-primary.png"/>
                  <pic:cNvPicPr/>
                </pic:nvPicPr>
                <pic:blipFill>
                  <a:blip r:embed="rId1"/>
                  <a:stretch>
                    <a:fillRect/>
                  </a:stretch>
                </pic:blipFill>
                <pic:spPr>
                  <a:xfrm>
                    <a:off x="0" y="0"/>
                    <a:ext cx="960120" cy="586740"/>
                  </a:xfrm>
                  <a:prstGeom prst="rect"/>
                </pic:spPr>
              </pic:pic>
            </a:graphicData>
          </a:graphic>
        </wp:inline>
      </w:drawing>
    </w:r>
    <w:r>
      <w:rPr>
        <w:rFonts w:ascii="Arial" w:hAnsi="Arial"/>
        <w:b/>
        <w:color w:val="676985"/>
        <w:sz w:val="16"/>
      </w:rPr>
      <w:t xml:space="preserve">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518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7D57EA"/>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7D57E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51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#30 - Customer Source Analysis Workcell</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