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 101 Scoped equivalence decisions and POSTTRAN candidate checks</w:t>
      </w:r>
    </w:p>
    <w:p>
      <w:pPr/>
      <w:r>
        <w:rPr>
          <w:b w:val="0"/>
          <w:i w:val="0"/>
        </w:rPr>
        <w:t>Reconciled October 14 2026.</w:t>
      </w:r>
    </w:p>
    <w:p>
      <w:pPr/>
      <w:r>
        <w:rPr>
          <w:b w:val="0"/>
          <w:i w:val="0"/>
        </w:rPr>
        <w:t>This milestone makes review decisions precise and keeps candidate qualification separate from comparison against a reference. A reviewer can see which argument was accepted, which source and register entries it depends on, and what evidence is still required before the decision can affect a release calculation.</w:t>
      </w:r>
    </w:p>
    <w:p>
      <w:pPr>
        <w:pStyle w:val="Heading1"/>
      </w:pPr>
      <w:r>
        <w:rPr>
          <w:b w:val="0"/>
          <w:i w:val="0"/>
        </w:rPr>
        <w:t>Delivered capability</w:t>
      </w:r>
    </w:p>
    <w:p>
      <w:pPr/>
      <w:r>
        <w:rPr>
          <w:b w:val="0"/>
          <w:i w:val="0"/>
        </w:rPr>
        <w:t>The October 12 review records 44 new twin-scoped acceptances and three references to existing acceptances from a 47-item packet. It is AI-assisted operator review, not independent human attestation. Eleven items retain host-only assumptions. No new z/OS-facing acceptance is created.</w:t>
      </w:r>
    </w:p>
    <w:p>
      <w:pPr/>
      <w:r>
        <w:rPr>
          <w:b w:val="0"/>
          <w:i w:val="0"/>
        </w:rPr>
        <w:t>Items 20, 23 and 42 require individually verified 200-of-200 comparison evidence under their exact recorded binding. Their accepted arguments do not become effective merely because a later CI run is green. Items 30, 35 and 36 depend on exact keep-or-fix register entries. A separate approved duplicate-category loader-domain proposal still requires fresh loader receipts and valid-domain assessment before activation.</w:t>
      </w:r>
    </w:p>
    <w:p>
      <w:pPr>
        <w:pStyle w:val="Heading1"/>
      </w:pPr>
      <w:r>
        <w:rPr>
          <w:b w:val="0"/>
          <w:i w:val="0"/>
        </w:rPr>
        <w:t>POSTTRAN Phase 1 result</w:t>
      </w:r>
    </w:p>
    <w:p>
      <w:pPr/>
      <w:r>
        <w:rPr>
          <w:b w:val="0"/>
          <w:i w:val="0"/>
        </w:rPr>
        <w:t>The retained generated candidate has unchanged bytes. Its original gate run compiled successfully but failed one invariant because the harness confused the COBOL source abend code 999 with the twin shim's process return code 12. The corrected gate selects an explicit source-abcode contract requiring 999; the twin-process contract still requires 12. It does not accept either value interchangeably.</w:t>
      </w:r>
    </w:p>
    <w:p>
      <w:pPr/>
      <w:r>
        <w:rPr>
          <w:b w:val="0"/>
          <w:i w:val="0"/>
        </w:rPr>
        <w:t>The separately authorized second compilation passed 18 cases, each executed twice, with structure, invariants and repeatability checked. The original failed report remains failed. The successful retained run is 38304981119 at head 1b1f31769eb85359ef474725​8d214ac9bd6b48e9; its reported gate time was 16.96 seconds.</w:t>
      </w:r>
    </w:p>
    <w:p>
      <w:pPr>
        <w:pStyle w:val="Heading1"/>
      </w:pPr>
      <w:r>
        <w:rPr>
          <w:b w:val="0"/>
          <w:i w:val="0"/>
        </w:rPr>
        <w:t>Remaining work</w:t>
      </w:r>
    </w:p>
    <w:p>
      <w:pPr/>
      <w:r>
        <w:rPr>
          <w:b w:val="0"/>
          <w:i w:val="0"/>
        </w:rPr>
        <w:t>Phase 1 success is not a twin comparison or a release decision. Phase 2, new model attempts, changed candidate bytes, operational signing and activation remain separate actions. Merging the implementation does not create satisfaction receipts for conditional acceptances or make the loader-domain proposal effective.</w:t>
      </w:r>
    </w:p>
    <w:p>
      <w:pPr>
        <w:pStyle w:val="Heading1"/>
      </w:pPr>
      <w:r>
        <w:rPr>
          <w:b w:val="0"/>
          <w:i w:val="0"/>
        </w:rPr>
        <w:t>Supporting records</w:t>
      </w:r>
    </w:p>
    <w:p>
      <w:pPr>
        <w:pStyle w:val="ListBullet"/>
      </w:pPr>
      <w:hyperlink r:id="rId11">
        <w:r>
          <w:rPr>
            <w:color w:val="244D79"/>
          </w:rPr>
          <w:t xml:space="preserve">Individual acceptance and conditions</w:t>
        </w:r>
      </w:hyperlink>
    </w:p>
    <w:p>
      <w:pPr>
        <w:pStyle w:val="ListBullet"/>
      </w:pPr>
      <w:hyperlink r:id="rId12">
        <w:r>
          <w:rPr>
            <w:color w:val="244D79"/>
          </w:rPr>
          <w:t xml:space="preserve">Loader-domain proposal</w:t>
        </w:r>
      </w:hyperlink>
    </w:p>
    <w:p>
      <w:pPr>
        <w:pStyle w:val="ListBullet"/>
      </w:pPr>
      <w:hyperlink r:id="rId13">
        <w:r>
          <w:rPr>
            <w:color w:val="244D79"/>
          </w:rPr>
          <w:t xml:space="preserve">Original failed Phase 1 report</w:t>
        </w:r>
      </w:hyperlink>
    </w:p>
    <w:p>
      <w:pPr>
        <w:pStyle w:val="ListBullet"/>
      </w:pPr>
      <w:hyperlink r:id="rId14">
        <w:r>
          <w:rPr>
            <w:color w:val="244D79"/>
          </w:rPr>
          <w:t xml:space="preserve">Source-bound gate correction</w:t>
        </w:r>
      </w:hyperlink>
    </w:p>
    <w:p>
      <w:pPr>
        <w:pStyle w:val="ListBullet"/>
      </w:pPr>
      <w:hyperlink r:id="rId15">
        <w:r>
          <w:rPr>
            <w:color w:val="244D79"/>
          </w:rPr>
          <w:t xml:space="preserve">Successful authorized compilation</w:t>
        </w:r>
      </w:hyperlink>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MS-101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97280" cy="283662"/>
          <wp:docPr id="1" name="Picture 1"/>
          <wp:cNvGraphicFramePr>
            <a:graphicFrameLocks noChangeAspect="1"/>
          </wp:cNvGraphicFramePr>
          <a:graphic>
            <a:graphicData uri="http://schemas.openxmlformats.org/drawingml/2006/picture">
              <pic:pic>
                <pic:nvPicPr>
                  <pic:cNvPr id="0" name="lightyear-horizontal.png"/>
                  <pic:cNvPicPr/>
                </pic:nvPicPr>
                <pic:blipFill>
                  <a:blip r:embed="rId1"/>
                  <a:stretch>
                    <a:fillRect/>
                  </a:stretch>
                </pic:blipFill>
                <pic:spPr>
                  <a:xfrm>
                    <a:off x="0" y="0"/>
                    <a:ext cx="1097280" cy="28366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howardweale/lightyear-carddemo-modernization/blob/main/docs/factory/equivalence-operator-acceptance-2026-10-12.md" TargetMode="External"/><Relationship Id="rId12" Type="http://schemas.openxmlformats.org/officeDocument/2006/relationships/hyperlink" Target="https://github.com/howardweale/lightyear-carddemo-modernization/blob/main/docs/factory/intcalc-duplicate-category-proposal-2026-10-12.md" TargetMode="External"/><Relationship Id="rId13" Type="http://schemas.openxmlformats.org/officeDocument/2006/relationships/hyperlink" Target="https://github.com/howardweale/lightyear-carddemo-modernization/blob/main/docs/factory/posttran-attempt1-phase1-2026-10-12.md" TargetMode="External"/><Relationship Id="rId14" Type="http://schemas.openxmlformats.org/officeDocument/2006/relationships/hyperlink" Target="https://github.com/howardweale/lightyear-carddemo-modernization/blob/main/docs/factory/posttran-phase1-gate-correction-2026-10-12.md" TargetMode="External"/><Relationship Id="rId15" Type="http://schemas.openxmlformats.org/officeDocument/2006/relationships/hyperlink" Target="https://github.com/howardweale/lightyear-carddemo-modernization/actions/runs/383049811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101 Scoped equivalence decisions and POSTTRAN candidate checks</dc:title>
  <dc:subject>Canonical milestone record and bounded evidence</dc:subject>
  <dc:creator>LIGHTYEAR</dc:creator>
  <cp:keywords/>
  <dc:description>Source SHA256: 896c0cbb33d047afaba9303a7ffefad5d270b8e8873264ceb37f3574de7204b2</dc:description>
  <cp:lastModifiedBy/>
  <cp:revision>1</cp:revision>
  <dcterms:created xsi:type="dcterms:W3CDTF">2013-12-23T23:15:00Z</dcterms:created>
  <dcterms:modified xsi:type="dcterms:W3CDTF">2013-12-23T23:15:00Z</dcterms:modified>
  <cp:category/>
</cp:coreProperties>
</file>