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102 Control Tower review and factory status</w:t>
      </w:r>
    </w:p>
    <w:p>
      <w:pPr/>
      <w:r>
        <w:rPr>
          <w:b w:val="0"/>
          <w:i w:val="0"/>
        </w:rPr>
        <w:t>Reconciled October 14 2026.</w:t>
      </w:r>
    </w:p>
    <w:p>
      <w:pPr/>
      <w:r>
        <w:rPr>
          <w:b w:val="0"/>
          <w:i w:val="0"/>
        </w:rPr>
        <w:t>Control Tower gives operators a common view of evidence and decisions without taking ownership of the verifier's result. This milestone consolidates the Decision Console, its security review and the later Factory Decisions, Programs, Status and Unresolved views. It makes implemented controls discoverable while keeping live activation separate.</w:t>
      </w:r>
    </w:p>
    <w:p>
      <w:pPr>
        <w:pStyle w:val="Heading1"/>
      </w:pPr>
      <w:r>
        <w:rPr>
          <w:b w:val="0"/>
          <w:i w:val="0"/>
        </w:rPr>
        <w:t>Delivered capability</w:t>
      </w:r>
    </w:p>
    <w:p>
      <w:pPr/>
      <w:r>
        <w:rPr>
          <w:b w:val="0"/>
          <w:i w:val="0"/>
        </w:rPr>
        <w:t>The Console binds decisions to exact evidence, authenticated roles and a signed journal. Two distinct authorized people must approve the same reviewed bundle for customer evidence release. Qualification has its own external trust key; the Console's signature is not a substitute for native qualification evidence. Disclosure is scoped to each customer and partner.</w:t>
      </w:r>
    </w:p>
    <w:p>
      <w:pPr/>
      <w:r>
        <w:rPr>
          <w:b w:val="0"/>
          <w:i w:val="0"/>
        </w:rPr>
        <w:t>The Factory uses its own authority and journal. Programs shows INTCALC and POSTTRAN evidence, business and I/O coverage, raw and scoped mutation counts, compiler refusals, legacy dispositions and pending reviews. Status and Unresolved distinguish observed mismatches from missing evidence, source limitations, survivors and unsigned decisions. Missing queue age is shown as unknown rather than zero.</w:t>
      </w:r>
    </w:p>
    <w:p>
      <w:pPr/>
      <w:r>
        <w:rPr>
          <w:b w:val="0"/>
          <w:i w:val="0"/>
        </w:rPr>
        <w:t>The views use exact imported experiment records. A Tower display commit is not a new experiment. Signed overlays can invalidate dependencies or add scoped decisions without rewriting the original raw records. The operating manual covers route, tab and decision vocabularies, trust setup and the separate backfill and administrative activation steps.</w:t>
      </w:r>
    </w:p>
    <w:p>
      <w:pPr>
        <w:pStyle w:val="Heading1"/>
      </w:pPr>
      <w:r>
        <w:rPr>
          <w:b w:val="0"/>
          <w:i w:val="0"/>
        </w:rPr>
        <w:t>Evidence and remaining work</w:t>
      </w:r>
    </w:p>
    <w:p>
      <w:pPr/>
      <w:r>
        <w:rPr>
          <w:b w:val="0"/>
          <w:i w:val="0"/>
        </w:rPr>
        <w:t>Published tests exercise roles, stale bindings, tampering, protected-value disclosure, rule scope, released exports and browser behavior. The reconciled manual and public screenshots document the delivered interface. The retained Windows observation finding still requires completed immutable exports where safe live observation is unavailable.</w:t>
      </w:r>
    </w:p>
    <w:p>
      <w:pPr/>
      <w:r>
        <w:rPr>
          <w:b w:val="0"/>
          <w:i w:val="0"/>
        </w:rPr>
        <w:t>An unsigned backfill is not a live authority. Real signing, grants, deployment and activation remain operator actions. The current provisional programs do not gain release approval from a dashboard. Dual-run, ZD&amp;T and B07 integration pages remain plans. Lifting the B06 merge hold on October 14 changes publication authority, not these runtime boundaries.</w:t>
      </w:r>
    </w:p>
    <w:p>
      <w:pPr>
        <w:pStyle w:val="Heading1"/>
      </w:pPr>
      <w:r>
        <w:rPr>
          <w:b w:val="0"/>
          <w:i w:val="0"/>
        </w:rPr>
        <w:t>Supporting records</w:t>
      </w:r>
    </w:p>
    <w:p>
      <w:pPr>
        <w:pStyle w:val="ListBullet"/>
      </w:pPr>
      <w:hyperlink r:id="rId11">
        <w:r>
          <w:rPr>
            <w:color w:val="244D79"/>
          </w:rPr>
          <w:t xml:space="preserve">Original Console delivery</w:t>
        </w:r>
      </w:hyperlink>
    </w:p>
    <w:p>
      <w:pPr>
        <w:pStyle w:val="ListBullet"/>
      </w:pPr>
      <w:hyperlink r:id="rId12">
        <w:r>
          <w:rPr>
            <w:color w:val="244D79"/>
          </w:rPr>
          <w:t xml:space="preserve">Console review corrections and observation limits</w:t>
        </w:r>
      </w:hyperlink>
    </w:p>
    <w:p>
      <w:pPr>
        <w:pStyle w:val="ListBullet"/>
      </w:pPr>
      <w:hyperlink r:id="rId13">
        <w:r>
          <w:rPr>
            <w:color w:val="244D79"/>
          </w:rPr>
          <w:t xml:space="preserve">Factory decision migration</w:t>
        </w:r>
      </w:hyperlink>
    </w:p>
    <w:p>
      <w:pPr>
        <w:pStyle w:val="ListBullet"/>
      </w:pPr>
      <w:hyperlink r:id="rId14">
        <w:r>
          <w:rPr>
            <w:color w:val="244D79"/>
          </w:rPr>
          <w:t xml:space="preserve">Programs evidence view</w:t>
        </w:r>
      </w:hyperlink>
    </w:p>
    <w:p>
      <w:pPr>
        <w:pStyle w:val="ListBullet"/>
      </w:pPr>
      <w:hyperlink r:id="rId15">
        <w:r>
          <w:rPr>
            <w:color w:val="244D79"/>
          </w:rPr>
          <w:t xml:space="preserve">Status and Unresolved delivery</w:t>
        </w:r>
      </w:hyperlink>
    </w:p>
    <w:p>
      <w:pPr>
        <w:pStyle w:val="ListBullet"/>
      </w:pPr>
      <w:hyperlink r:id="rId16">
        <w:r>
          <w:rPr>
            <w:color w:val="244D79"/>
          </w:rPr>
          <w:t xml:space="preserve">Operating manual</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MS-102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control-tower-decision-console-milestone.md" TargetMode="External"/><Relationship Id="rId12" Type="http://schemas.openxmlformats.org/officeDocument/2006/relationships/hyperlink" Target="https://github.com/howardweale/lightyear-carddemo-modernization/blob/main/docs/control-tower-review-v2-milestone.md" TargetMode="External"/><Relationship Id="rId13" Type="http://schemas.openxmlformats.org/officeDocument/2006/relationships/hyperlink" Target="https://github.com/howardweale/lightyear-carddemo-modernization/blob/main/docs/factory/tower-decisions-milestone.md" TargetMode="External"/><Relationship Id="rId14" Type="http://schemas.openxmlformats.org/officeDocument/2006/relationships/hyperlink" Target="https://github.com/howardweale/lightyear-carddemo-modernization/blob/main/docs/factory/tower-programs-milestone.md" TargetMode="External"/><Relationship Id="rId15" Type="http://schemas.openxmlformats.org/officeDocument/2006/relationships/hyperlink" Target="https://github.com/howardweale/lightyear-carddemo-modernization/blob/main/docs/factory/tower-status-milestone.md" TargetMode="External"/><Relationship Id="rId16" Type="http://schemas.openxmlformats.org/officeDocument/2006/relationships/hyperlink" Target="https://github.com/howardweale/lightyear-carddemo-modernization/blob/main/docs/control-tower-users-manual.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102 Control Tower review and factory status</dc:title>
  <dc:subject>Canonical milestone record and bounded evidence</dc:subject>
  <dc:creator>LIGHTYEAR</dc:creator>
  <cp:keywords/>
  <dc:description>Source SHA256: c0e05b73d7c4e7e7d90dff8ac6f797942a8c724642b15306354d75f115dc43c4</dc:description>
  <cp:lastModifiedBy/>
  <cp:revision>1</cp:revision>
  <dcterms:created xsi:type="dcterms:W3CDTF">2013-12-23T23:15:00Z</dcterms:created>
  <dcterms:modified xsi:type="dcterms:W3CDTF">2013-12-23T23:15:00Z</dcterms:modified>
  <cp:category/>
</cp:coreProperties>
</file>