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MS83 Native iDempiere context and migration measurement</w:t>
      </w:r>
    </w:p>
    <w:p>
      <w:pPr/>
      <w:r>
        <w:rPr>
          <w:b w:val="0"/>
          <w:i w:val="0"/>
        </w:rPr>
        <w:t xml:space="preserve">Delivered by </w:t>
      </w:r>
      <w:hyperlink r:id="rId11">
        <w:r>
          <w:rPr>
            <w:color w:val="244D79"/>
          </w:rPr>
          <w:t xml:space="preserve">PR #214</w:t>
        </w:r>
      </w:hyperlink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 xml:space="preserve">merged 26 September 2026 as </w:t>
      </w:r>
      <w:r>
        <w:rPr>
          <w:rFonts w:ascii="Courier New" w:hAnsi="Courier New"/>
          <w:b w:val="0"/>
          <w:i w:val="0"/>
          <w:sz w:val="18"/>
        </w:rPr>
        <w:t>45288de</w:t>
      </w:r>
      <w:r>
        <w:rPr>
          <w:b w:val="0"/>
          <w:i w:val="0"/>
        </w:rPr>
        <w:t>.</w:t>
      </w:r>
    </w:p>
    <w:p>
      <w:pPr/>
      <w:r>
        <w:rPr>
          <w:b w:val="0"/>
          <w:i w:val="0"/>
        </w:rPr>
      </w:r>
      <w:r>
        <w:rPr>
          <w:b/>
          <w:i w:val="0"/>
        </w:rPr>
        <w:t>Status: native measurement completed; differences and validity findings retained.</w:t>
      </w:r>
      <w:r>
        <w:rPr>
          <w:b w:val="0"/>
          <w:i w:val="0"/>
        </w:rPr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 xml:space="preserve">The follow-up </w:t>
      </w:r>
      <w:hyperlink r:id="rId12">
        <w:r>
          <w:rPr>
            <w:color w:val="244D79"/>
          </w:rPr>
          <w:t xml:space="preserve">MS84</w:t>
        </w:r>
      </w:hyperlink>
      <w:r>
        <w:rPr>
          <w:b w:val="0"/>
          <w:i w:val="0"/>
        </w:rPr>
        <w:t xml:space="preserve"> resolves these findings on a documented,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corrected execution path. It does not replace this original result.</w:t>
      </w:r>
    </w:p>
    <w:p>
      <w:pPr>
        <w:pStyle w:val="Heading1"/>
      </w:pPr>
      <w:r>
        <w:rPr>
          <w:b w:val="0"/>
          <w:i w:val="0"/>
        </w:rPr>
        <w:t>Customer benefit</w:t>
      </w:r>
    </w:p>
    <w:p>
      <w:pPr/>
      <w:r>
        <w:rPr>
          <w:b w:val="0"/>
          <w:i w:val="0"/>
        </w:rPr>
        <w:t>Before promising that a migration works, establish what the tools can actually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prove and what the databases actually do. This milestone replaces assumptions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about iDempiere's database structure and migration effects with observations from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running Oracle and PostgreSQL databases.</w:t>
      </w:r>
    </w:p>
    <w:p>
      <w:pPr/>
      <w:r>
        <w:rPr>
          <w:b w:val="0"/>
          <w:i w:val="0"/>
        </w:rPr>
        <w:t>In beginner terms, a migration script is a set of instructions that changes 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database. A successful exit says the instructions ran. It does not say that both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databases ended with equivalent data, or that all their objects remain valid.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MS83 measures those questions separately.</w:t>
      </w:r>
    </w:p>
    <w:p>
      <w:pPr>
        <w:pStyle w:val="Heading1"/>
      </w:pPr>
      <w:r>
        <w:rPr>
          <w:b w:val="0"/>
          <w:i w:val="0"/>
        </w:rPr>
        <w:t>Delivered behavior</w:t>
      </w:r>
    </w:p>
    <w:p>
      <w:pPr/>
      <w:r>
        <w:rPr>
          <w:b w:val="0"/>
          <w:i w:val="0"/>
        </w:rPr>
        <w:t>The experiment imported the official release-13 schema and data into local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Oracle AI Database 26ai Free (23.26.3.0.0) and PostgreSQL 15.19. Source, seed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archives and database images are pinned in the retained evidence. Both engines'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catalogs and effective session settings were captured through versioned queries.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Capture fails if a required query fails; completeness refers to those schema-owner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queries, not every database-wide setting.</w:t>
      </w:r>
    </w:p>
    <w:p>
      <w:pPr/>
      <w:r>
        <w:rPr>
          <w:b w:val="0"/>
          <w:i w:val="0"/>
        </w:rPr>
        <w:t>Stage one supplied those observed facts to the static comparator and reran all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1,078 pinned script pairs against a same-version control without the facts.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Stage two executed the 20 normal migration pairs outstanding on both seeds,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capturing complete ordinary base-table rows and defined structural metadata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before and after each pair. Raw UUIDs, timestamps and registration paths were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retained rather than discarded to obtain a passing result.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4608"/>
        <w:gridCol w:w="5472"/>
      </w:tblGrid>
      <w:tr>
        <w:trPr>
          <w:cantSplit/>
          <w:tblHeader/>
        </w:trPr>
        <w:tc>
          <w:tcPr>
            <w:tcW w:type="dxa" w:w="4608"/>
          </w:tcPr>
          <w:p>
            <w:pPr>
              <w:spacing w:after="80" w:before="80"/>
            </w:pPr>
            <w:r>
              <w:rPr>
                <w:b/>
                <w:i w:val="0"/>
                <w:sz w:val="20"/>
              </w:rPr>
              <w:t>Measurement</w:t>
            </w:r>
          </w:p>
        </w:tc>
        <w:tc>
          <w:tcPr>
            <w:tcW w:type="dxa" w:w="5472"/>
          </w:tcPr>
          <w:p>
            <w:pPr>
              <w:spacing w:after="80" w:before="80"/>
            </w:pPr>
            <w:r>
              <w:rPr>
                <w:b/>
                <w:i w:val="0"/>
                <w:sz w:val="20"/>
              </w:rPr>
              <w:t>Result at PR #214</w:t>
            </w:r>
          </w:p>
        </w:tc>
      </w:tr>
      <w:tr>
        <w:trPr>
          <w:cantSplit/>
        </w:trPr>
        <w:tc>
          <w:tcPr>
            <w:tcW w:type="dxa" w:w="4608"/>
          </w:tcPr>
          <w:p>
            <w:pPr>
              <w:spacing w:after="80" w:before="80"/>
            </w:pPr>
            <w:r>
              <w:rPr>
                <w:b w:val="0"/>
                <w:i w:val="0"/>
                <w:sz w:val="20"/>
              </w:rPr>
              <w:t>Static script pairs replayed</w:t>
            </w:r>
          </w:p>
        </w:tc>
        <w:tc>
          <w:tcPr>
            <w:tcW w:type="dxa" w:w="5472"/>
          </w:tcPr>
          <w:p>
            <w:pPr>
              <w:spacing w:after="80" w:before="80"/>
            </w:pPr>
            <w:r>
              <w:rPr>
                <w:b w:val="0"/>
                <w:i w:val="0"/>
                <w:sz w:val="20"/>
              </w:rPr>
              <w:t>1,078</w:t>
            </w:r>
          </w:p>
        </w:tc>
      </w:tr>
      <w:tr>
        <w:trPr>
          <w:cantSplit/>
        </w:trPr>
        <w:tc>
          <w:tcPr>
            <w:tcW w:type="dxa" w:w="4608"/>
          </w:tcPr>
          <w:p>
            <w:pPr>
              <w:spacing w:after="80" w:before="80"/>
            </w:pPr>
            <w:r>
              <w:rPr>
                <w:b w:val="0"/>
                <w:i w:val="0"/>
                <w:sz w:val="20"/>
              </w:rPr>
              <w:t>SQL units decided without captured context</w:t>
            </w:r>
          </w:p>
        </w:tc>
        <w:tc>
          <w:tcPr>
            <w:tcW w:type="dxa" w:w="5472"/>
          </w:tcPr>
          <w:p>
            <w:pPr>
              <w:spacing w:after="80" w:before="80"/>
            </w:pPr>
            <w:r>
              <w:rPr>
                <w:b w:val="0"/>
                <w:i w:val="0"/>
                <w:sz w:val="20"/>
              </w:rPr>
              <w:t>780 / 111,293</w:t>
            </w:r>
          </w:p>
        </w:tc>
      </w:tr>
      <w:tr>
        <w:trPr>
          <w:cantSplit/>
        </w:trPr>
        <w:tc>
          <w:tcPr>
            <w:tcW w:type="dxa" w:w="4608"/>
          </w:tcPr>
          <w:p>
            <w:pPr>
              <w:spacing w:after="80" w:before="80"/>
            </w:pPr>
            <w:r>
              <w:rPr>
                <w:b w:val="0"/>
                <w:i w:val="0"/>
                <w:sz w:val="20"/>
              </w:rPr>
              <w:t>SQL units decided with captured context</w:t>
            </w:r>
          </w:p>
        </w:tc>
        <w:tc>
          <w:tcPr>
            <w:tcW w:type="dxa" w:w="5472"/>
          </w:tcPr>
          <w:p>
            <w:pPr>
              <w:spacing w:after="80" w:before="80"/>
            </w:pPr>
            <w:r>
              <w:rPr>
                <w:b w:val="0"/>
                <w:i w:val="0"/>
                <w:sz w:val="20"/>
              </w:rPr>
              <w:t>780 / 111,293</w:t>
            </w:r>
          </w:p>
        </w:tc>
      </w:tr>
      <w:tr>
        <w:trPr>
          <w:cantSplit/>
        </w:trPr>
        <w:tc>
          <w:tcPr>
            <w:tcW w:type="dxa" w:w="4608"/>
          </w:tcPr>
          <w:p>
            <w:pPr>
              <w:spacing w:after="80" w:before="80"/>
            </w:pPr>
            <w:r>
              <w:rPr>
                <w:b w:val="0"/>
                <w:i w:val="0"/>
                <w:sz w:val="20"/>
              </w:rPr>
              <w:t>Additional decisions from captured context</w:t>
            </w:r>
          </w:p>
        </w:tc>
        <w:tc>
          <w:tcPr>
            <w:tcW w:type="dxa" w:w="5472"/>
          </w:tcPr>
          <w:p>
            <w:pPr>
              <w:spacing w:after="80" w:before="80"/>
            </w:pPr>
            <w:r>
              <w:rPr>
                <w:b w:val="0"/>
                <w:i w:val="0"/>
                <w:sz w:val="20"/>
              </w:rPr>
            </w:r>
            <w:r>
              <w:rPr>
                <w:b/>
                <w:i w:val="0"/>
                <w:sz w:val="20"/>
              </w:rPr>
              <w:t>0</w:t>
            </w:r>
            <w:r>
              <w:rPr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4608"/>
          </w:tcPr>
          <w:p>
            <w:pPr>
              <w:spacing w:after="80" w:before="80"/>
            </w:pPr>
            <w:r>
              <w:rPr>
                <w:b w:val="0"/>
                <w:i w:val="0"/>
                <w:sz w:val="20"/>
              </w:rPr>
              <w:t>Pending migration pairs executed natively</w:t>
            </w:r>
          </w:p>
        </w:tc>
        <w:tc>
          <w:tcPr>
            <w:tcW w:type="dxa" w:w="5472"/>
          </w:tcPr>
          <w:p>
            <w:pPr>
              <w:spacing w:after="80" w:before="80"/>
            </w:pPr>
            <w:r>
              <w:rPr>
                <w:b w:val="0"/>
                <w:i w:val="0"/>
                <w:sz w:val="20"/>
              </w:rPr>
              <w:t>20</w:t>
            </w:r>
          </w:p>
        </w:tc>
      </w:tr>
      <w:tr>
        <w:trPr>
          <w:cantSplit/>
        </w:trPr>
        <w:tc>
          <w:tcPr>
            <w:tcW w:type="dxa" w:w="4608"/>
          </w:tcPr>
          <w:p>
            <w:pPr>
              <w:spacing w:after="80" w:before="80"/>
            </w:pPr>
            <w:r>
              <w:rPr>
                <w:b w:val="0"/>
                <w:i w:val="0"/>
                <w:sz w:val="20"/>
              </w:rPr>
              <w:t>Successful native client executions</w:t>
            </w:r>
          </w:p>
        </w:tc>
        <w:tc>
          <w:tcPr>
            <w:tcW w:type="dxa" w:w="5472"/>
          </w:tcPr>
          <w:p>
            <w:pPr>
              <w:spacing w:after="80" w:before="80"/>
            </w:pPr>
            <w:r>
              <w:rPr>
                <w:b w:val="0"/>
                <w:i w:val="0"/>
                <w:sz w:val="20"/>
              </w:rPr>
              <w:t>40 / 40</w:t>
            </w:r>
          </w:p>
        </w:tc>
      </w:tr>
      <w:tr>
        <w:trPr>
          <w:cantSplit/>
        </w:trPr>
        <w:tc>
          <w:tcPr>
            <w:tcW w:type="dxa" w:w="4608"/>
          </w:tcPr>
          <w:p>
            <w:pPr>
              <w:spacing w:after="80" w:before="80"/>
            </w:pPr>
            <w:r>
              <w:rPr>
                <w:b w:val="0"/>
                <w:i w:val="0"/>
                <w:sz w:val="20"/>
              </w:rPr>
              <w:t>Strict whole-pair row-effect comparisons that differ</w:t>
            </w:r>
          </w:p>
        </w:tc>
        <w:tc>
          <w:tcPr>
            <w:tcW w:type="dxa" w:w="5472"/>
          </w:tcPr>
          <w:p>
            <w:pPr>
              <w:spacing w:after="80" w:before="80"/>
            </w:pPr>
            <w:r>
              <w:rPr>
                <w:b w:val="0"/>
                <w:i w:val="0"/>
                <w:sz w:val="20"/>
              </w:rPr>
              <w:t>20 / 20</w:t>
            </w:r>
          </w:p>
        </w:tc>
      </w:tr>
      <w:tr>
        <w:trPr>
          <w:cantSplit/>
        </w:trPr>
        <w:tc>
          <w:tcPr>
            <w:tcW w:type="dxa" w:w="4608"/>
          </w:tcPr>
          <w:p>
            <w:pPr>
              <w:spacing w:after="80" w:before="80"/>
            </w:pPr>
            <w:r>
              <w:rPr>
                <w:b w:val="0"/>
                <w:i w:val="0"/>
                <w:sz w:val="20"/>
              </w:rPr>
              <w:t>Exact changed-table delta matches</w:t>
            </w:r>
          </w:p>
        </w:tc>
        <w:tc>
          <w:tcPr>
            <w:tcW w:type="dxa" w:w="5472"/>
          </w:tcPr>
          <w:p>
            <w:pPr>
              <w:spacing w:after="80" w:before="80"/>
            </w:pPr>
            <w:r>
              <w:rPr>
                <w:b w:val="0"/>
                <w:i w:val="0"/>
                <w:sz w:val="20"/>
              </w:rPr>
              <w:t>49 / 111</w:t>
            </w:r>
          </w:p>
        </w:tc>
      </w:tr>
      <w:tr>
        <w:trPr>
          <w:cantSplit/>
        </w:trPr>
        <w:tc>
          <w:tcPr>
            <w:tcW w:type="dxa" w:w="4608"/>
          </w:tcPr>
          <w:p>
            <w:pPr>
              <w:spacing w:after="80" w:before="80"/>
            </w:pPr>
            <w:r>
              <w:rPr>
                <w:b w:val="0"/>
                <w:i w:val="0"/>
                <w:sz w:val="20"/>
              </w:rPr>
              <w:t>Further table comparisons with matching changed-field transitions</w:t>
            </w:r>
          </w:p>
        </w:tc>
        <w:tc>
          <w:tcPr>
            <w:tcW w:type="dxa" w:w="5472"/>
          </w:tcPr>
          <w:p>
            <w:pPr>
              <w:spacing w:after="80" w:before="80"/>
            </w:pPr>
            <w:r>
              <w:rPr>
                <w:b w:val="0"/>
                <w:i w:val="0"/>
                <w:sz w:val="20"/>
              </w:rPr>
              <w:t>13</w:t>
            </w:r>
          </w:p>
        </w:tc>
      </w:tr>
      <w:tr>
        <w:trPr>
          <w:cantSplit/>
        </w:trPr>
        <w:tc>
          <w:tcPr>
            <w:tcW w:type="dxa" w:w="4608"/>
          </w:tcPr>
          <w:p>
            <w:pPr>
              <w:spacing w:after="80" w:before="80"/>
            </w:pPr>
            <w:r>
              <w:rPr>
                <w:b w:val="0"/>
                <w:i w:val="0"/>
                <w:sz w:val="20"/>
              </w:rPr>
              <w:t>Invalid Oracle objects after the tranche</w:t>
            </w:r>
          </w:p>
        </w:tc>
        <w:tc>
          <w:tcPr>
            <w:tcW w:type="dxa" w:w="5472"/>
          </w:tcPr>
          <w:p>
            <w:pPr>
              <w:spacing w:after="80" w:before="80"/>
            </w:pPr>
            <w:r>
              <w:rPr>
                <w:b w:val="0"/>
                <w:i w:val="0"/>
                <w:sz w:val="20"/>
              </w:rPr>
              <w:t>14</w:t>
            </w:r>
          </w:p>
        </w:tc>
      </w:tr>
      <w:tr>
        <w:trPr>
          <w:cantSplit/>
        </w:trPr>
        <w:tc>
          <w:tcPr>
            <w:tcW w:type="dxa" w:w="4608"/>
          </w:tcPr>
          <w:p>
            <w:pPr>
              <w:spacing w:after="80" w:before="80"/>
            </w:pPr>
            <w:r>
              <w:rPr>
                <w:b w:val="0"/>
                <w:i w:val="0"/>
                <w:sz w:val="20"/>
              </w:rPr>
              <w:t>Whole-pair equivalence claims</w:t>
            </w:r>
          </w:p>
        </w:tc>
        <w:tc>
          <w:tcPr>
            <w:tcW w:type="dxa" w:w="5472"/>
          </w:tcPr>
          <w:p>
            <w:pPr>
              <w:spacing w:after="80" w:before="80"/>
            </w:pPr>
            <w:r>
              <w:rPr>
                <w:b w:val="0"/>
                <w:i w:val="0"/>
                <w:sz w:val="20"/>
              </w:rPr>
            </w:r>
            <w:r>
              <w:rPr>
                <w:b/>
                <w:i w:val="0"/>
                <w:sz w:val="20"/>
              </w:rPr>
              <w:t>0</w:t>
            </w:r>
            <w:r>
              <w:rPr>
                <w:b w:val="0"/>
                <w:i w:val="0"/>
                <w:sz w:val="20"/>
              </w:rPr>
            </w:r>
          </w:p>
        </w:tc>
      </w:tr>
    </w:tbl>
    <w:p>
      <w:pPr>
        <w:spacing w:after="0"/>
      </w:pPr>
    </w:p>
    <w:p>
      <w:pPr/>
      <w:r>
        <w:rPr>
          <w:b w:val="0"/>
          <w:i w:val="0"/>
        </w:rPr>
        <w:t>The earlier improvement from 776 to 780 decided units belongs to MS81. MS83 does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not count it again. Zero additional decisions establishes the limit reached by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this gate on this corpus with these supplied facts; it is not a universal limit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on static analysis.</w:t>
      </w:r>
    </w:p>
    <w:p>
      <w:pPr>
        <w:pStyle w:val="Heading1"/>
      </w:pPr>
      <w:r>
        <w:rPr>
          <w:b w:val="0"/>
          <w:i w:val="0"/>
        </w:rPr>
        <w:t>Findings and why they matter</w:t>
      </w:r>
    </w:p>
    <w:p>
      <w:pPr/>
      <w:r>
        <w:rPr>
          <w:b w:val="0"/>
          <w:i w:val="0"/>
        </w:rPr>
        <w:t>The official seeds already differed: Oracle started with 913 base tables 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185,292 rows; PostgreSQL had 912 tables and 185,253 rows. Some final differences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could therefore predate execution. The 13 matching changed-field comparisons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were useful diagnostics, but did not make the strict whole-pair verdict pass.</w:t>
      </w:r>
    </w:p>
    <w:p>
      <w:pPr/>
      <w:r>
        <w:rPr>
          <w:b w:val="0"/>
          <w:i w:val="0"/>
        </w:rPr>
        <w:t>All 20 scripts registered on both engines, yet registration data, sequence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counters, clocks and application metadata still differed. Fourteen Oracle views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or procedures were invalid after the tranche. These observations showed why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successful script execution alone was an insufficient acceptance test.</w:t>
      </w:r>
    </w:p>
    <w:p>
      <w:pPr/>
      <w:r>
        <w:rPr>
          <w:b w:val="0"/>
          <w:i w:val="0"/>
        </w:rPr>
        <w:t>A hypothetical evaluator might see two scripts exit successfully and conclude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that an upgrade is safe. This milestone instead gives them the data differences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 object-validity findings needed to withhold that conclusion and commission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 specific repair and replay plan.</w:t>
      </w:r>
    </w:p>
    <w:p>
      <w:pPr>
        <w:pStyle w:val="Heading1"/>
      </w:pPr>
      <w:r>
        <w:rPr>
          <w:b w:val="0"/>
          <w:i w:val="0"/>
        </w:rPr>
        <w:t>Evidence and limits</w:t>
      </w:r>
    </w:p>
    <w:p>
      <w:pPr/>
      <w:r>
        <w:rPr>
          <w:b w:val="0"/>
          <w:i w:val="0"/>
        </w:rPr>
        <w:t xml:space="preserve">The </w:t>
      </w:r>
      <w:hyperlink r:id="rId13">
        <w:r>
          <w:rPr>
            <w:color w:val="244D79"/>
          </w:rPr>
          <w:t xml:space="preserve">runtime report</w:t>
        </w:r>
      </w:hyperlink>
      <w:r>
        <w:rPr>
          <w:b w:val="0"/>
          <w:i w:val="0"/>
        </w:rPr>
        <w:t xml:space="preserve"> and</w:t>
      </w:r>
      <w:r>
        <w:rPr>
          <w:b w:val="0"/>
          <w:i w:val="0"/>
        </w:rPr>
        <w:t xml:space="preserve"> </w:t>
      </w:r>
      <w:hyperlink r:id="rId14">
        <w:r>
          <w:rPr>
            <w:color w:val="244D79"/>
          </w:rPr>
          <w:t xml:space="preserve">sealed receipt</w:t>
        </w:r>
      </w:hyperlink>
      <w:r>
        <w:rPr>
          <w:b w:val="0"/>
          <w:i w:val="0"/>
        </w:rPr>
        <w:t xml:space="preserve"> bind 123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published evidence files: native captures, import and execution logs, comparisons,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diagnostics, final checks and the controllers used for the experiment. Hashes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establish integrity, not independent attestation. Full row snapshots and private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connection settings remain outside Git.</w:t>
      </w:r>
    </w:p>
    <w:p>
      <w:pPr/>
      <w:r>
        <w:rPr>
          <w:b w:val="0"/>
          <w:i w:val="0"/>
        </w:rPr>
        <w:t>Of the 1,078 inventory pairs, 1,053 were already registered on both seeds 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were not freshly executed. One older Oracle-only registration gap and four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maintenance pairs were also outside the executed tranche. The release-13 seed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cannot recreate historical entry states simply by replaying old scripts over it.</w:t>
      </w:r>
    </w:p>
    <w:p>
      <w:pPr/>
      <w:r>
        <w:rPr>
          <w:b w:val="0"/>
          <w:i w:val="0"/>
        </w:rPr>
        <w:t>No application equivalence, historical-upgrade certification, Oracle behavior-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catalog conformance or platform qualification is claimed. Execution used local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Docker; no GCP resources were started. Containers were stopped with data retained.</w:t>
      </w:r>
    </w:p>
    <w:p>
      <w:pPr>
        <w:pStyle w:val="Heading1"/>
      </w:pPr>
      <w:r>
        <w:rPr>
          <w:b w:val="0"/>
          <w:i w:val="0"/>
        </w:rPr>
        <w:t>Validation and relationship to MS84</w:t>
      </w:r>
    </w:p>
    <w:p>
      <w:pPr/>
      <w:r>
        <w:rPr>
          <w:b w:val="0"/>
          <w:i w:val="0"/>
        </w:rPr>
        <w:t>Collector, comparator, context-binding and publication-integrity tests ran with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the calibration checks on Windows and Linux. CI also reproduced the static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measurement against the pinned public source. Native logs and validity checks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provide the execution evidence; synthetic tests do not add native coverage.</w:t>
      </w:r>
    </w:p>
    <w:p>
      <w:pPr/>
      <w:r>
        <w:rPr>
          <w:b w:val="0"/>
          <w:i w:val="0"/>
        </w:rPr>
        <w:t xml:space="preserve">MS83 established the questions. </w:t>
      </w:r>
      <w:hyperlink r:id="rId12">
        <w:r>
          <w:rPr>
            <w:color w:val="244D79"/>
          </w:rPr>
          <w:t xml:space="preserve">MS84</w:t>
        </w:r>
      </w:hyperlink>
      <w:r>
        <w:rPr>
          <w:b w:val="0"/>
          <w:i w:val="0"/>
        </w:rPr>
        <w:t xml:space="preserve"> diagnoses registration,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creates comparable starting data, validates explicit rules for expected runtime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differences, resolves validity findings, and replays history from an older seed.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MS-83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097280" cy="28366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ightyear-horizonta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7280" cy="283662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45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howardweale/lightyear-carddemo-modernization/pull/214" TargetMode="External"/><Relationship Id="rId12" Type="http://schemas.openxmlformats.org/officeDocument/2006/relationships/hyperlink" Target="https://github.com/howardweale/lightyear-carddemo-modernization/blob/main/docs/milestones/MS-84/MS-84.md" TargetMode="External"/><Relationship Id="rId13" Type="http://schemas.openxmlformats.org/officeDocument/2006/relationships/hyperlink" Target="https://github.com/howardweale/lightyear-carddemo-modernization/blob/main/docs/calibration/idempiere-runtime/README.md" TargetMode="External"/><Relationship Id="rId14" Type="http://schemas.openxmlformats.org/officeDocument/2006/relationships/hyperlink" Target="https://github.com/howardweale/lightyear-carddemo-modernization/blob/main/docs/calibration/idempiere-runtime/receipt.json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MS83 Native iDempiere context and migration measurement</dc:title>
  <dc:subject>Canonical milestone record and bounded evidence</dc:subject>
  <dc:creator>LIGHTYEAR</dc:creator>
  <cp:keywords/>
  <dc:description>Source SHA256: ec98950d4d7c810c76c6974d0d9c098ba653f7ec3e1ab8d79cf7a1c64112c896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