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MS84 Native iDempiere reconciliation and historical replay</w:t>
      </w:r>
    </w:p>
    <w:p>
      <w:pPr/>
      <w:r>
        <w:rPr>
          <w:b w:val="0"/>
          <w:i w:val="0"/>
        </w:rPr>
        <w:t xml:space="preserve">Delivered by </w:t>
      </w:r>
      <w:hyperlink r:id="rId11">
        <w:r>
          <w:rPr>
            <w:color w:val="244D79"/>
          </w:rPr>
          <w:t xml:space="preserve">PR #215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merged 26 September 2026 as </w:t>
      </w:r>
      <w:r>
        <w:rPr>
          <w:rFonts w:ascii="Courier New" w:hAnsi="Courier New"/>
          <w:b w:val="0"/>
          <w:i w:val="0"/>
          <w:sz w:val="18"/>
        </w:rPr>
        <w:t>2b5a576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Status: corrected native replay completed with zero unexplained data differences</w:t>
      </w:r>
      <w:r>
        <w:rPr>
          <w:b/>
          <w:i w:val="0"/>
        </w:rPr>
        <w:t xml:space="preserve"> </w:t>
      </w:r>
      <w:r>
        <w:rPr>
          <w:b/>
          <w:i w:val="0"/>
        </w:rPr>
        <w:t>at the admitted checkpoints. Broader qualification remains unclaimed.</w:t>
      </w:r>
      <w:r>
        <w:rPr>
          <w:b w:val="0"/>
          <w:i w:val="0"/>
        </w:rPr>
      </w:r>
    </w:p>
    <w:p>
      <w:pPr>
        <w:pStyle w:val="Heading1"/>
      </w:pPr>
      <w:r>
        <w:rPr>
          <w:b w:val="0"/>
          <w:i w:val="0"/>
        </w:rPr>
        <w:t>Customer benefit</w:t>
      </w:r>
    </w:p>
    <w:p>
      <w:pPr/>
      <w:r>
        <w:rPr>
          <w:b w:val="0"/>
          <w:i w:val="0"/>
        </w:rPr>
        <w:t xml:space="preserve">Turn the differences found in </w:t>
      </w:r>
      <w:hyperlink r:id="rId12">
        <w:r>
          <w:rPr>
            <w:color w:val="244D79"/>
          </w:rPr>
          <w:t xml:space="preserve">MS83</w:t>
        </w:r>
      </w:hyperlink>
      <w:r>
        <w:rPr>
          <w:b w:val="0"/>
          <w:i w:val="0"/>
        </w:rPr>
        <w:t xml:space="preserve"> into an explainable upgrade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path. A reviewer can see where the databases started, which scripts ran, which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repairs were necessary, and why each remaining raw difference was accepted.</w:t>
      </w:r>
    </w:p>
    <w:p>
      <w:pPr/>
      <w:r>
        <w:rPr>
          <w:b w:val="0"/>
          <w:i w:val="0"/>
        </w:rPr>
        <w:t>In beginner terms, both databases begin with comparable data, receive 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respective migration instructions, and are checked again before the next release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proceeds. A difference must either satisfy a specific reviewed rule or be fixed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measured again. An unexplained difference stops advancement.</w:t>
      </w:r>
    </w:p>
    <w:p>
      <w:pPr>
        <w:pStyle w:val="Heading1"/>
      </w:pPr>
      <w:r>
        <w:rPr>
          <w:b w:val="0"/>
          <w:i w:val="0"/>
        </w:rPr>
        <w:t>Delivered behavior</w:t>
      </w:r>
    </w:p>
    <w:p>
      <w:pPr/>
      <w:r>
        <w:rPr>
          <w:b w:val="0"/>
          <w:i w:val="0"/>
        </w:rPr>
        <w:t>Direct native calls established that registration works on both engines.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probe restored its affected tables and verified their prior hashes, including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effects of Oracle's independently committed registration transaction.</w:t>
      </w:r>
    </w:p>
    <w:p>
      <w:pPr/>
      <w:r>
        <w:rPr>
          <w:b w:val="0"/>
          <w:i w:val="0"/>
        </w:rPr>
        <w:t>For the fresh release-13 rerun, one Oracle snapshot supplied 185,275 rows across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911 common base tables. PostgreSQL's 3,807 foreign keys were checked after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load, with zero violations. Canonical source line endings removed differences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caused by Windows newlines inside SQL text. Native recompilation resolved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 invalid Oracle objects; later checks also validated 2,914 outstanding Oracle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foreign keys without changing row data. All 3,826 final release-13 Oracle foreign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keys were enabled and validated.</w:t>
      </w:r>
    </w:p>
    <w:p>
      <w:pPr/>
      <w:r>
        <w:rPr>
          <w:b w:val="0"/>
          <w:i w:val="0"/>
        </w:rPr>
        <w:t>Historical replay began from the official release-3.1 seed, with 843 common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tables copied from one source and 3,402 foreign keys checked. It incorporated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 older prerequisite pairs before the existing inventory and carried admitted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 states forward through release 13. Exact Oracle statement dispatch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preserves literal text and separates native execution from the static parser.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Measurement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Fresh release-13 experiment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Historical chain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Migration pairs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20 regular + 4 maintenance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1,125 regular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Native script executions / attempts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48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2,255, including 5 recovery attempts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Admitted checkpoints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20 regular + 1 maintenance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20 release checkpoints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Unexplained final data differences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0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0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Retained allowed final field differences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640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5,540</w:t>
            </w:r>
          </w:p>
        </w:tc>
      </w:tr>
    </w:tbl>
    <w:p>
      <w:pPr>
        <w:spacing w:after="0"/>
      </w:pPr>
    </w:p>
    <w:p>
      <w:pPr/>
      <w:r>
        <w:rPr>
          <w:b w:val="0"/>
          <w:i w:val="0"/>
        </w:rPr>
        <w:t xml:space="preserve">The historical chain covers all </w:t>
      </w:r>
      <w:r>
        <w:rPr>
          <w:b/>
          <w:i w:val="0"/>
        </w:rPr>
        <w:t>1,074 original regular inventory pairs</w:t>
      </w:r>
      <w:r>
        <w:rPr>
          <w:b w:val="0"/>
          <w:i w:val="0"/>
        </w:rPr>
        <w:t xml:space="preserve"> plus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51 prerequisites</w:t>
      </w:r>
      <w:r>
        <w:rPr>
          <w:b w:val="0"/>
          <w:i w:val="0"/>
        </w:rPr>
        <w:t>. Its 20 regular pairs overlapping the fresh 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not additional unique coverage. Four maintenance pairs remain a separately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reported release-13 experiment. The 2,255 attempts include recorded recoveries;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earlier failed bootstrap runs are retained separately.</w:t>
      </w:r>
    </w:p>
    <w:p>
      <w:pPr/>
      <w:r>
        <w:rPr>
          <w:b w:val="0"/>
          <w:i w:val="0"/>
        </w:rPr>
        <w:t>At the final historical checkpoint, 913 common tables were compared: 883 were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byte-exact and the remaining raw field differences satisfied explicit rules.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Oracle had no invalid objects, compilation errors, unusable indexes or index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partitions, disabled constraints or unvalidated constraints. PostgreSQL had 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invalid indexes or unvalidated constraints under the retained checks. All 2,914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outstanding historical Oracle foreign keys were natively validated and complete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 row multisets were unchanged. Final foreign-key counts still differ: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3,794 in Oracle and 3,822 in PostgreSQL.</w:t>
      </w:r>
    </w:p>
    <w:p>
      <w:pPr>
        <w:pStyle w:val="Heading1"/>
      </w:pPr>
      <w:r>
        <w:rPr>
          <w:b w:val="0"/>
          <w:i w:val="0"/>
        </w:rPr>
        <w:t>How expected differences are validated</w:t>
      </w:r>
    </w:p>
    <w:p>
      <w:pPr/>
      <w:r>
        <w:rPr>
          <w:b w:val="0"/>
          <w:i w:val="0"/>
        </w:rPr>
        <w:t>Rules apply only to named fields and observed conditions. They cover fresh,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valid, unique UUIDs; clocks within recorded execution windows; registration paths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matching the actual executed source; timezone values representing the same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instant; and exactly equal finite decimals with different formatting. They 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globally ignore timestamps, trim business text, or use numeric tolerances.</w:t>
      </w:r>
    </w:p>
    <w:p>
      <w:pPr/>
      <w:r>
        <w:rPr>
          <w:b w:val="0"/>
          <w:i w:val="0"/>
        </w:rPr>
        <w:t>For example, a hypothetical new metadata row may receive different UUIDs on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 engines. That can be admitted only when both IDs satisfy the fresh-row rule.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 unexplained change to an existing row's UUID or business value still fails.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Both raw values remain available after acceptance.</w:t>
      </w:r>
    </w:p>
    <w:p>
      <w:pPr/>
      <w:r>
        <w:rPr>
          <w:b w:val="0"/>
          <w:i w:val="0"/>
        </w:rPr>
        <w:t>Earlier accepted differences carry forward only when their witnesses are 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 the actual starting snapshots and both raw values remain unchanged. Unknown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tables, columns, row keys or differences block admission. Original rejected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checkpoints remain beside their reviewed successors.</w:t>
      </w:r>
    </w:p>
    <w:p>
      <w:pPr>
        <w:pStyle w:val="Heading1"/>
      </w:pPr>
      <w:r>
        <w:rPr>
          <w:b w:val="0"/>
          <w:i w:val="0"/>
        </w:rPr>
        <w:t>Repairs and claim boundaries</w:t>
      </w:r>
    </w:p>
    <w:p>
      <w:pPr/>
      <w:r>
        <w:rPr>
          <w:b w:val="0"/>
          <w:i w:val="0"/>
        </w:rPr>
        <w:t>The replay required explicit corrections, including old-seed prerequisites,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 precision and literal handling, blank-value predicates, missing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dictionary rows, and constraint/index operations incompatible with the observed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starting schema. Native probes, original failures and repair evidence are retained.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nine earlier application-table findings are resolved on this corrected path.</w:t>
      </w:r>
    </w:p>
    <w:p>
      <w:pPr/>
      <w:r>
        <w:rPr>
          <w:b w:val="0"/>
          <w:i w:val="0"/>
        </w:rPr>
        <w:t>This proves agreement of complete common base-table data at the declared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checkpoints after documented repairs. Historical release checkpoints do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 isolated equivalence proofs for each of the 1,125 script pairs, and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 is not unmodified-upstream-script equivalence.</w:t>
      </w:r>
    </w:p>
    <w:p>
      <w:pPr/>
      <w:r>
        <w:rPr>
          <w:b w:val="0"/>
          <w:i w:val="0"/>
        </w:rPr>
        <w:t>Schema equivalence, full application equivalence, platform qualification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Oracle behavior-catalog native conformance remain unclaimed. The differing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foreign-key counts are visible rather than waived. Static calibration remains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</w:r>
      <w:r>
        <w:rPr>
          <w:b/>
          <w:i w:val="0"/>
        </w:rPr>
        <w:t>780 / 111,293 decided SQL units</w:t>
      </w:r>
      <w:r>
        <w:rPr>
          <w:b w:val="0"/>
          <w:i w:val="0"/>
        </w:rPr>
        <w:t>; native replay does not increase that count.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Running an old seed on Oracle 26ai also does not qualify Oracle 11g or 19c.</w:t>
      </w:r>
    </w:p>
    <w:p>
      <w:pPr>
        <w:pStyle w:val="Heading1"/>
      </w:pPr>
      <w:r>
        <w:rPr>
          <w:b w:val="0"/>
          <w:i w:val="0"/>
        </w:rPr>
        <w:t>Evidence and validation</w:t>
      </w:r>
    </w:p>
    <w:p>
      <w:pPr/>
      <w:r>
        <w:rPr>
          <w:b w:val="0"/>
          <w:i w:val="0"/>
        </w:rPr>
        <w:t xml:space="preserve">The </w:t>
      </w:r>
      <w:hyperlink r:id="rId13">
        <w:r>
          <w:rPr>
            <w:color w:val="244D79"/>
          </w:rPr>
          <w:t xml:space="preserve">reconciliation report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4">
        <w:r>
          <w:rPr>
            <w:color w:val="244D79"/>
          </w:rPr>
          <w:t xml:space="preserve">release results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5">
        <w:r>
          <w:rPr>
            <w:color w:val="244D79"/>
          </w:rPr>
          <w:t xml:space="preserve">sealed receipt</w:t>
        </w:r>
      </w:hyperlink>
      <w:r>
        <w:rPr>
          <w:b w:val="0"/>
          <w:i w:val="0"/>
        </w:rPr>
        <w:t xml:space="preserve"> and</w:t>
      </w:r>
      <w:r>
        <w:rPr>
          <w:b w:val="0"/>
          <w:i w:val="0"/>
        </w:rPr>
        <w:t xml:space="preserve"> </w:t>
      </w:r>
      <w:hyperlink r:id="rId16">
        <w:r>
          <w:rPr>
            <w:color w:val="244D79"/>
          </w:rPr>
          <w:t xml:space="preserve">evidence archive</w:t>
        </w:r>
      </w:hyperlink>
      <w:r>
        <w:rPr>
          <w:b w:val="0"/>
          <w:i w:val="0"/>
        </w:rPr>
        <w:t xml:space="preserve"> bind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 pins, rules, native observations, repairs and validity results. The archive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contains 9,671 members, including 34 research controllers. Complete all-row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snapshots remain in ignored local storage; published hashes cannot reconstruct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those rows. Integrity hashes are not independent attestation.</w:t>
      </w:r>
    </w:p>
    <w:p>
      <w:pPr/>
      <w:r>
        <w:rPr>
          <w:b w:val="0"/>
          <w:i w:val="0"/>
        </w:rPr>
        <w:t>The affected suite ran 133 tests with two local skips; the optional pinned-source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 was run separately and passed. Publication integrity, controller syntax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credential scans passed. A Windows-path portability issue in the publication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verifier was corrected before merge. All </w:t>
      </w:r>
      <w:r>
        <w:rPr>
          <w:b/>
          <w:i w:val="0"/>
        </w:rPr>
        <w:t>21 PR checks passed</w:t>
      </w:r>
      <w:r>
        <w:rPr>
          <w:b w:val="0"/>
          <w:i w:val="0"/>
        </w:rPr>
        <w:t>, including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 and Linux calibration, pinned-source replay and broader regressions.</w:t>
      </w:r>
    </w:p>
    <w:p>
      <w:pPr/>
      <w:r>
        <w:rPr>
          <w:b w:val="0"/>
          <w:i w:val="0"/>
        </w:rPr>
        <w:t>Execution used local Oracle 26ai Free and PostgreSQL 15. No GCP resources were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started, and the task's database containers were stopped with data retained.</w:t>
      </w:r>
    </w:p>
    <w:p>
      <w:pPr>
        <w:pStyle w:val="Heading1"/>
      </w:pPr>
      <w:r>
        <w:rPr>
          <w:b w:val="0"/>
          <w:i w:val="0"/>
        </w:rPr>
        <w:t>What this enables next</w:t>
      </w:r>
    </w:p>
    <w:p>
      <w:pPr/>
      <w:r>
        <w:rPr>
          <w:b w:val="0"/>
          <w:i w:val="0"/>
        </w:rPr>
        <w:t>The retained checkpoints and documented repairs provide a concrete baseline 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repeatable upgrade tooling and customer-specific assessment. Application journeys,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structural/schema differences and operational platform dimensions need their 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 before this result can support a broader production-readiness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pull/215" TargetMode="External"/><Relationship Id="rId12" Type="http://schemas.openxmlformats.org/officeDocument/2006/relationships/hyperlink" Target="https://github.com/howardweale/lightyear-carddemo-modernization/blob/main/docs/milestones/MS-83/MS-83.md" TargetMode="External"/><Relationship Id="rId13" Type="http://schemas.openxmlformats.org/officeDocument/2006/relationships/hyperlink" Target="https://github.com/howardweale/lightyear-carddemo-modernization/blob/main/docs/calibration/idempiere-reconciliation/README.md" TargetMode="External"/><Relationship Id="rId14" Type="http://schemas.openxmlformats.org/officeDocument/2006/relationships/hyperlink" Target="https://github.com/howardweale/lightyear-carddemo-modernization/blob/main/docs/calibration/idempiere-reconciliation/history-results.md" TargetMode="External"/><Relationship Id="rId15" Type="http://schemas.openxmlformats.org/officeDocument/2006/relationships/hyperlink" Target="https://github.com/howardweale/lightyear-carddemo-modernization/blob/main/docs/calibration/idempiere-reconciliation/receipt.json" TargetMode="External"/><Relationship Id="rId16" Type="http://schemas.openxmlformats.org/officeDocument/2006/relationships/hyperlink" Target="https://github.com/howardweale/lightyear-carddemo-modernization/blob/main/docs/calibration/idempiere-reconciliation/evidence.zip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MS84 Native iDempiere reconciliation and historical replay</dc:title>
  <dc:subject>Canonical milestone record and bounded evidence</dc:subject>
  <dc:creator>LIGHTYEAR</dc:creator>
  <cp:keywords/>
  <dc:description>Source SHA256: a864278160825fcdca4e677176e405b587423365f25f93a8f0e98538932a8485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