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MS85 iDempiere schema alignment and native business journey</w:t>
      </w:r>
    </w:p>
    <w:p>
      <w:pPr/>
      <w:r>
        <w:rPr>
          <w:b w:val="0"/>
          <w:i w:val="0"/>
        </w:rPr>
        <w:t xml:space="preserve">Evidence recorded 26 September 2026, following </w:t>
      </w:r>
      <w:hyperlink r:id="rId11">
        <w:r>
          <w:rPr>
            <w:color w:val="244D79"/>
          </w:rPr>
          <w:t xml:space="preserve">MS84</w:t>
        </w:r>
      </w:hyperlink>
      <w:r>
        <w:rPr>
          <w:b w:val="0"/>
          <w:i w:val="0"/>
        </w:rPr>
        <w:t>.</w:t>
      </w:r>
    </w:p>
    <w:p>
      <w:pPr/>
      <w:r>
        <w:rPr>
          <w:b w:val="0"/>
          <w:i w:val="0"/>
        </w:rPr>
      </w:r>
      <w:r>
        <w:rPr>
          <w:b/>
          <w:i w:val="0"/>
        </w:rPr>
        <w:t>Status: bounded native journey equivalence passed. Full schema equivalence,</w:t>
      </w:r>
      <w:r>
        <w:rPr>
          <w:b/>
          <w:i w:val="0"/>
        </w:rPr>
        <w:t xml:space="preserve"> </w:t>
      </w:r>
      <w:r>
        <w:rPr>
          <w:b/>
          <w:i w:val="0"/>
        </w:rPr>
        <w:t>full application equivalence and platform qualification remain unclaimed.</w:t>
      </w:r>
      <w:r>
        <w:rPr>
          <w:b w:val="0"/>
          <w:i w:val="0"/>
        </w:rPr>
      </w:r>
    </w:p>
    <w:p>
      <w:pPr>
        <w:pStyle w:val="Heading1"/>
      </w:pPr>
      <w:r>
        <w:rPr>
          <w:b w:val="0"/>
          <w:i w:val="0"/>
        </w:rPr>
        <w:t>Customer benefit</w:t>
      </w:r>
    </w:p>
    <w:p>
      <w:pPr/>
      <w:r>
        <w:rPr>
          <w:b w:val="0"/>
          <w:i w:val="0"/>
        </w:rPr>
        <w:t>MS84 showed that corrected migration histories could reach matching admitted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 states. MS85 asks the next practical question: can the real 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perform useful business work on those databases and produce matching results?</w:t>
      </w:r>
    </w:p>
    <w:p>
      <w:pPr/>
      <w:r>
        <w:rPr>
          <w:b w:val="0"/>
          <w:i w:val="0"/>
        </w:rPr>
        <w:t>It first repairs observed schema disagreements in isolated copies, then runs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same iDempiere business logic on Oracle and PostgreSQL. A customer buys two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units, receives a shipment and invoice, and pays. Both databases finish 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same verified business outcome, including inventory and accounting.</w:t>
      </w:r>
    </w:p>
    <w:p>
      <w:pPr/>
      <w:r>
        <w:rPr>
          <w:b w:val="0"/>
          <w:i w:val="0"/>
        </w:rPr>
        <w:t>This supplies an inspectable example of application compatibility. It is 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end-to-end scenario across six stages, not comprehensive certification of six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application areas.</w:t>
      </w:r>
    </w:p>
    <w:p>
      <w:pPr>
        <w:pStyle w:val="Heading1"/>
      </w:pPr>
      <w:r>
        <w:rPr>
          <w:b w:val="0"/>
          <w:i w:val="0"/>
        </w:rPr>
        <w:t>Schema first</w:t>
      </w:r>
    </w:p>
    <w:p>
      <w:pPr/>
      <w:r>
        <w:rPr>
          <w:b w:val="0"/>
          <w:i w:val="0"/>
        </w:rPr>
        <w:t>The starting data comes from the admitted MS84 historical replay. Original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databases were preserved; changes were applied only to isolated successors.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Check or repair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Result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Common base tables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913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Foreign keys added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36: 32 Oracle and 4 PostgreSQL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Matching foreign-key relationships after repair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3,826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Nullability conflicts repaired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30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Common columns agreeing on nullability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18,852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Matching primary-key column sets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900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Matching unique-key column sets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917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Table-row multisets changed by schema repairs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Native constraint probes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30 passed per engine</w:t>
            </w:r>
          </w:p>
        </w:tc>
      </w:tr>
    </w:tbl>
    <w:p>
      <w:pPr>
        <w:spacing w:after="0"/>
      </w:pPr>
    </w:p>
    <w:p>
      <w:pPr/>
      <w:r>
        <w:rPr>
          <w:b w:val="0"/>
          <w:i w:val="0"/>
        </w:rPr>
        <w:t>The user-selected shared application dictionary resolves the 30 nullability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conflicts: 23 Oracle columns become optional, five Oracle columns become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required, and two PostgreSQL columns become required. Both databases' dictionary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rows agree; native preflight checks establish that tightening constraints will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reject existing data. Foreign-key comparisons include ordered columns,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referential actions, validation, deferral and enforcement state.</w:t>
      </w:r>
    </w:p>
    <w:p>
      <w:pPr/>
      <w:r>
        <w:rPr>
          <w:b w:val="0"/>
          <w:i w:val="0"/>
        </w:rPr>
        <w:t>The 30 rollback-only probes on each engine cover a positive update and primary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key, foreign key, required-column and Y/N rejection checks on each of six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journey tables. Deferred constraints are forced immediate, expected 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error classes are checked, and affected rows are read back after rollback.</w:t>
      </w:r>
    </w:p>
    <w:p>
      <w:pPr/>
      <w:r>
        <w:rPr>
          <w:b w:val="0"/>
          <w:i w:val="0"/>
        </w:rPr>
        <w:t>Twenty separate paired expression probes produce 11 matching values, two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matching overflow rejections and seven differences, with none inconclusive.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differences concern numeric precision, empty strings, multibyte CHAR,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fractional time, UUIDs and JSON. A separate clock observation also differs.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 are standalone expressions, not proof of what constrained application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tables accept. For example, Oracle JSON columns have additional </w:t>
      </w:r>
      <w:r>
        <w:rPr>
          <w:rFonts w:ascii="Courier New" w:hAnsi="Courier New"/>
          <w:b w:val="0"/>
          <w:i w:val="0"/>
          <w:sz w:val="18"/>
        </w:rPr>
        <w:t>IS 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checks. Raw findings remain in the schema assessment.</w:t>
      </w:r>
    </w:p>
    <w:p>
      <w:pPr>
        <w:pStyle w:val="Heading1"/>
      </w:pPr>
      <w:r>
        <w:rPr>
          <w:b w:val="0"/>
          <w:i w:val="0"/>
        </w:rPr>
        <w:t>Then the real application</w:t>
      </w:r>
    </w:p>
    <w:p>
      <w:pPr/>
      <w:r>
        <w:rPr>
          <w:b w:val="0"/>
          <w:i w:val="0"/>
        </w:rPr>
        <w:t>The identical Java harness runs through iDempiere's model and document-workflow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APIs, using source commit </w:t>
      </w:r>
      <w:r>
        <w:rPr>
          <w:rFonts w:ascii="Courier New" w:hAnsi="Courier New"/>
          <w:b w:val="0"/>
          <w:i w:val="0"/>
          <w:sz w:val="18"/>
        </w:rPr>
        <w:t>731515dcdd5278b843db33b9​d3109d155b881951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 writes are performed by the application. Independent native readback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checks committed records after the application exits.</w:t>
      </w:r>
    </w:p>
    <w:p>
      <w:pPr/>
      <w:r>
        <w:rPr>
          <w:b w:val="0"/>
          <w:i w:val="0"/>
        </w:rPr>
        <w:t xml:space="preserve">The engines are </w:t>
      </w:r>
      <w:r>
        <w:rPr>
          <w:b/>
          <w:i w:val="0"/>
        </w:rPr>
        <w:t>Oracle 26ai Free (23.26.3.0.0)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PostgreSQL 15.19</w:t>
      </w:r>
      <w:r>
        <w:rPr>
          <w:b w:val="0"/>
          <w:i w:val="0"/>
        </w:rPr>
        <w:t xml:space="preserve"> 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local Docker. The reference client is GardenWorld. No GCP resources were started.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Stage or outcome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/>
                <w:i w:val="0"/>
                <w:sz w:val="20"/>
              </w:rPr>
              <w:t>Verified on each engine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Customer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New customer and address saved and linked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Product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New stocked product, opening inventory 10, unit price 10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Order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Completed, quantity 2, net total 20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Shipment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Completed, quantity delivered 2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Invoice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Completed, total 20, ultimately marked paid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Payment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Completed and allocated, amount 20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Closing inventory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8 units; two inventory movement records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Accounting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12 entries checked; six balanced document/schema/currency groups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New application issues</w:t>
            </w:r>
          </w:p>
        </w:tc>
        <w:tc>
          <w:tcPr>
            <w:tcW w:type="dxa" w:w="5472"/>
          </w:tcPr>
          <w:p>
            <w:pPr>
              <w:spacing w:after="80" w:before="80"/>
            </w:pPr>
            <w:r>
              <w:rPr>
                <w:b w:val="0"/>
                <w:i w:val="0"/>
                <w:sz w:val="20"/>
              </w:rPr>
              <w:t>0</w:t>
            </w:r>
          </w:p>
        </w:tc>
      </w:tr>
    </w:tbl>
    <w:p>
      <w:pPr>
        <w:spacing w:after="0"/>
      </w:pPr>
    </w:p>
    <w:p>
      <w:pPr/>
      <w:r>
        <w:rPr>
          <w:b w:val="0"/>
          <w:i w:val="0"/>
        </w:rPr>
        <w:t>The final runs use fresh verified starting copies and normal commit boundaries.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Earlier setup attempts remain visible: one omitted a price-list entry; another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held the scenario in one transaction and caused customer-visibility issues.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archive retains four diagnostic executions and two successful final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executions. The diagnostics are not counted as successful journeys.</w:t>
      </w:r>
    </w:p>
    <w:p>
      <w:pPr>
        <w:pStyle w:val="Heading1"/>
      </w:pPr>
      <w:r>
        <w:rPr>
          <w:b w:val="0"/>
          <w:i w:val="0"/>
        </w:rPr>
        <w:t>Differences are validated, not discarded</w:t>
      </w:r>
    </w:p>
    <w:p>
      <w:pPr/>
      <w:r>
        <w:rPr>
          <w:b w:val="0"/>
          <w:i w:val="0"/>
        </w:rPr>
        <w:t xml:space="preserve">Final readback compares 913 common base tables. It retains </w:t>
      </w:r>
      <w:r>
        <w:rPr>
          <w:b/>
          <w:i w:val="0"/>
        </w:rPr>
        <w:t>305 new raw field</w:t>
      </w:r>
      <w:r>
        <w:rPr>
          <w:b/>
          <w:i w:val="0"/>
        </w:rPr>
        <w:t xml:space="preserve"> </w:t>
      </w:r>
      <w:r>
        <w:rPr>
          <w:b/>
          <w:i w:val="0"/>
        </w:rPr>
        <w:t>differences</w:t>
      </w:r>
      <w:r>
        <w:rPr>
          <w:b w:val="0"/>
          <w:i w:val="0"/>
        </w:rPr>
        <w:t>: 300 admitted by explicit application rules and five by existing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UUID rules. </w:t>
      </w:r>
      <w:r>
        <w:rPr>
          <w:b/>
          <w:i w:val="0"/>
        </w:rPr>
        <w:t>Zero differences remain unexplained.</w:t>
      </w:r>
      <w:r>
        <w:rPr>
          <w:b w:val="0"/>
          <w:i w:val="0"/>
        </w:rPr>
        <w:t xml:space="preserve"> The 5,540 unchanged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differences already admitted by MS84 are accounted for separately.</w:t>
      </w:r>
    </w:p>
    <w:p>
      <w:pPr/>
      <w:r>
        <w:rPr>
          <w:b w:val="0"/>
          <w:i w:val="0"/>
        </w:rPr>
        <w:t>New UUIDs must be valid, unique and absent from the starting data. Generated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times must fit native execution windows; existing creation times cannot be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rewritten. Workflow durations are bounded, and workflow text can vary only 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 decimal rendering. Runtime database identity must match the observed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isolated target and pinned driver's behavior. Both raw values and the admitting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rule remain available for every accepted difference.</w:t>
      </w:r>
    </w:p>
    <w:p>
      <w:pPr/>
      <w:r>
        <w:rPr>
          <w:b w:val="0"/>
          <w:i w:val="0"/>
        </w:rPr>
        <w:t>New application issues, unknown differences, missing or extra row keys,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writes outside the declared journey footprint block admission. A successful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test-process exit alone is insufficient.</w:t>
      </w:r>
    </w:p>
    <w:p>
      <w:pPr>
        <w:pStyle w:val="Heading1"/>
      </w:pPr>
      <w:r>
        <w:rPr>
          <w:b w:val="0"/>
          <w:i w:val="0"/>
        </w:rPr>
        <w:t>Claim boundaries</w:t>
      </w:r>
    </w:p>
    <w:p>
      <w:pPr/>
      <w:r>
        <w:rPr>
          <w:b w:val="0"/>
          <w:i w:val="0"/>
        </w:rPr>
        <w:t>The application receipt states: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status: passed-bounded-journey-equivalence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bounded_journey_equivalence: true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application_equivalence: false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schema_equivalence: false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platform_qualification: false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independently_attested: false</w:t>
      </w:r>
    </w:p>
    <w:p>
      <w:pPr>
        <w:spacing w:after="0"/>
      </w:pPr>
    </w:p>
    <w:p>
      <w:pPr/>
      <w:r>
        <w:rPr>
          <w:b w:val="0"/>
          <w:i w:val="0"/>
        </w:rPr>
        <w:t>The true flag covers this priced, stocked customer-to-payment scenario on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two recorded engines. The false flags cover broader claims that this scenario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cannot establish. Datatypes, defaults, broader constraint enforcement, indexes,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views, routines, triggers, privileges, policies and sequences retain open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obligations. Catalog declaration differences are not automatically defects.</w:t>
      </w:r>
    </w:p>
    <w:p>
      <w:pPr/>
      <w:r>
        <w:rPr>
          <w:b w:val="0"/>
          <w:i w:val="0"/>
        </w:rPr>
        <w:t>There is no claim here about all tax rules, valuation methods, reversals,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concurrency, performance, browser behavior or production operations. Oracle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19c, AlloyDB and the separate Oracle behavior-catalog conformance gate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outside this execution. Evidence is content-hash-bound native observation,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 independent attestation or a third-party signature.</w:t>
      </w:r>
    </w:p>
    <w:p>
      <w:pPr>
        <w:pStyle w:val="Heading1"/>
      </w:pPr>
      <w:r>
        <w:rPr>
          <w:b w:val="0"/>
          <w:i w:val="0"/>
        </w:rPr>
        <w:t>Evidence and validation</w:t>
      </w:r>
    </w:p>
    <w:p>
      <w:pPr>
        <w:pStyle w:val="ListBullet"/>
      </w:pPr>
      <w:hyperlink r:id="rId12">
        <w:r>
          <w:rPr>
            <w:color w:val="244D79"/>
          </w:rPr>
          <w:t xml:space="preserve">Schema report and reproduction instructions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3">
        <w:r>
          <w:rPr>
            <w:color w:val="244D79"/>
          </w:rPr>
          <w:t xml:space="preserve">assessment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4">
        <w:r>
          <w:rPr>
            <w:color w:val="244D79"/>
          </w:rPr>
          <w:t xml:space="preserve">receipt</w:t>
        </w:r>
      </w:hyperlink>
      <w:r>
        <w:rPr>
          <w:b w:val="0"/>
          <w:i w:val="0"/>
        </w:rPr>
        <w:t xml:space="preserve"> and</w:t>
      </w:r>
      <w:r>
        <w:rPr>
          <w:b w:val="0"/>
          <w:i w:val="0"/>
        </w:rPr>
        <w:t xml:space="preserve"> </w:t>
      </w:r>
      <w:hyperlink r:id="rId15">
        <w:r>
          <w:rPr>
            <w:color w:val="244D79"/>
          </w:rPr>
          <w:t xml:space="preserve">native evidence</w:t>
        </w:r>
      </w:hyperlink>
      <w:r>
        <w:rPr>
          <w:b w:val="0"/>
          <w:i w:val="0"/>
        </w:rPr>
        <w:t>.</w:t>
      </w:r>
    </w:p>
    <w:p>
      <w:pPr>
        <w:pStyle w:val="ListBullet"/>
      </w:pPr>
      <w:hyperlink r:id="rId16">
        <w:r>
          <w:rPr>
            <w:color w:val="244D79"/>
          </w:rPr>
          <w:t xml:space="preserve">Application report and reproduction instructions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7">
        <w:r>
          <w:rPr>
            <w:color w:val="244D79"/>
          </w:rPr>
          <w:t xml:space="preserve">receipt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8">
        <w:r>
          <w:rPr>
            <w:color w:val="244D79"/>
          </w:rPr>
          <w:t xml:space="preserve">comparison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hyperlink r:id="rId19">
        <w:r>
          <w:rPr>
            <w:color w:val="244D79"/>
          </w:rPr>
          <w:t xml:space="preserve">exact Java harness</w:t>
        </w:r>
      </w:hyperlink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and </w:t>
      </w:r>
      <w:hyperlink r:id="rId20">
        <w:r>
          <w:rPr>
            <w:color w:val="244D79"/>
          </w:rPr>
          <w:t xml:space="preserve">native evidence</w:t>
        </w:r>
      </w:hyperlink>
      <w:r>
        <w:rPr>
          <w:b w:val="0"/>
          <w:i w:val="0"/>
        </w:rPr>
        <w:t>.</w:t>
      </w:r>
    </w:p>
    <w:p>
      <w:pPr>
        <w:pStyle w:val="ListBullet"/>
      </w:pPr>
      <w:hyperlink r:id="rId21">
        <w:r>
          <w:rPr>
            <w:color w:val="244D79"/>
          </w:rPr>
          <w:t xml:space="preserve">Cleanup observation</w:t>
        </w:r>
      </w:hyperlink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 four experiment database containers stopped, with data retained.</w:t>
      </w:r>
    </w:p>
    <w:p>
      <w:pPr/>
      <w:r>
        <w:rPr>
          <w:b w:val="0"/>
          <w:i w:val="0"/>
        </w:rPr>
        <w:t>Five Python modules add catalog assessment, expression probes, rollback-only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constraint probes, explicit application difference rules and independent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business-outcome verification. Seven test modules cover those contracts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 the published evidence offline. The affected calibration suite runs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175 tests: </w:t>
      </w:r>
      <w:r>
        <w:rPr>
          <w:b/>
          <w:i w:val="0"/>
        </w:rPr>
        <w:t>173 passed, two skipped</w:t>
      </w:r>
      <w:r>
        <w:rPr>
          <w:b w:val="0"/>
          <w:i w:val="0"/>
        </w:rPr>
        <w:t xml:space="preserve"> locally. CI includes the same modules 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 and Windows. Publication checks reconstruct sealed states, check archive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hashes and retained rows, and recompute the admitted business outcomes.</w:t>
      </w:r>
    </w:p>
    <w:p>
      <w:pPr/>
      <w:r>
        <w:rPr>
          <w:b w:val="0"/>
          <w:i w:val="0"/>
        </w:rPr>
        <w:t>Credentials, private runtime settings and database images are excluded from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publication. Offline verification needs no running database.</w:t>
      </w:r>
    </w:p>
    <w:p>
      <w:pPr>
        <w:pStyle w:val="Heading1"/>
      </w:pPr>
      <w:r>
        <w:rPr>
          <w:b w:val="0"/>
          <w:i w:val="0"/>
        </w:rPr>
        <w:t>What this enables next</w:t>
      </w:r>
    </w:p>
    <w:p>
      <w:pPr/>
      <w:r>
        <w:rPr>
          <w:b w:val="0"/>
          <w:i w:val="0"/>
        </w:rPr>
        <w:t>The same evidence pattern can now be extended to additional business scenarios: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tax, discounts, partial shipment, credit notes and reversals, then concurrent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activity and failure recovery. Each extension should declare its starting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state, expected outcomes and permitted raw differences before execution.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Broader schema behavior and operational qualification remain separate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MS-85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owardweale/lightyear-carddemo-modernization/blob/main/docs/milestones/MS-84/MS-84.md" TargetMode="External"/><Relationship Id="rId12" Type="http://schemas.openxmlformats.org/officeDocument/2006/relationships/hyperlink" Target="https://github.com/howardweale/lightyear-carddemo-modernization/blob/main/docs/calibration/idempiere-schema/README.md" TargetMode="External"/><Relationship Id="rId13" Type="http://schemas.openxmlformats.org/officeDocument/2006/relationships/hyperlink" Target="https://github.com/howardweale/lightyear-carddemo-modernization/blob/main/docs/calibration/idempiere-schema/assessment.md" TargetMode="External"/><Relationship Id="rId14" Type="http://schemas.openxmlformats.org/officeDocument/2006/relationships/hyperlink" Target="https://github.com/howardweale/lightyear-carddemo-modernization/blob/main/docs/calibration/idempiere-schema/receipt.json" TargetMode="External"/><Relationship Id="rId15" Type="http://schemas.openxmlformats.org/officeDocument/2006/relationships/hyperlink" Target="https://github.com/howardweale/lightyear-carddemo-modernization/blob/main/docs/calibration/idempiere-schema/evidence.zip" TargetMode="External"/><Relationship Id="rId16" Type="http://schemas.openxmlformats.org/officeDocument/2006/relationships/hyperlink" Target="https://github.com/howardweale/lightyear-carddemo-modernization/blob/main/docs/calibration/idempiere-application/README.md" TargetMode="External"/><Relationship Id="rId17" Type="http://schemas.openxmlformats.org/officeDocument/2006/relationships/hyperlink" Target="https://github.com/howardweale/lightyear-carddemo-modernization/blob/main/docs/calibration/idempiere-application/receipt.json" TargetMode="External"/><Relationship Id="rId18" Type="http://schemas.openxmlformats.org/officeDocument/2006/relationships/hyperlink" Target="https://github.com/howardweale/lightyear-carddemo-modernization/blob/main/docs/calibration/idempiere-application/comparison.json" TargetMode="External"/><Relationship Id="rId19" Type="http://schemas.openxmlformats.org/officeDocument/2006/relationships/hyperlink" Target="https://github.com/howardweale/lightyear-carddemo-modernization/blob/main/docs/calibration/idempiere-application/LightyearJourneyTest.java" TargetMode="External"/><Relationship Id="rId20" Type="http://schemas.openxmlformats.org/officeDocument/2006/relationships/hyperlink" Target="https://github.com/howardweale/lightyear-carddemo-modernization/blob/main/docs/calibration/idempiere-application/evidence.zip" TargetMode="External"/><Relationship Id="rId21" Type="http://schemas.openxmlformats.org/officeDocument/2006/relationships/hyperlink" Target="https://github.com/howardweale/lightyear-carddemo-modernization/blob/main/docs/calibration/idempiere-application/cleanup.js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MS85 iDempiere schema alignment and native business journey</dc:title>
  <dc:subject>Canonical milestone record and bounded evidence</dc:subject>
  <dc:creator>LIGHTYEAR</dc:creator>
  <cp:keywords/>
  <dc:description>Source SHA256: f5b14839a052209523d92c3d376918aa8b873f51ad98b7231391d70d3d9ddc09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